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val="0"/>
        <w:topLinePunct w:val="0"/>
        <w:autoSpaceDE/>
        <w:autoSpaceDN/>
        <w:bidi w:val="0"/>
        <w:adjustRightInd/>
        <w:snapToGrid/>
        <w:spacing w:beforeAutospacing="0" w:line="580" w:lineRule="exact"/>
        <w:ind w:left="0" w:leftChars="0" w:right="0" w:rightChars="0" w:firstLine="0" w:firstLineChars="0"/>
        <w:jc w:val="both"/>
        <w:textAlignment w:val="auto"/>
        <w:outlineLvl w:val="9"/>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附件1</w:t>
      </w:r>
    </w:p>
    <w:p>
      <w:pPr>
        <w:keepNext w:val="0"/>
        <w:keepLines w:val="0"/>
        <w:pageBreakBefore w:val="0"/>
        <w:widowControl w:val="0"/>
        <w:kinsoku/>
        <w:wordWrap/>
        <w:overflowPunct w:val="0"/>
        <w:topLinePunct w:val="0"/>
        <w:autoSpaceDE/>
        <w:autoSpaceDN/>
        <w:bidi w:val="0"/>
        <w:adjustRightInd/>
        <w:snapToGrid/>
        <w:spacing w:beforeAutospacing="0" w:line="580" w:lineRule="exact"/>
        <w:ind w:left="0" w:leftChars="0" w:right="0" w:rightChars="0" w:firstLine="0" w:firstLineChars="0"/>
        <w:jc w:val="center"/>
        <w:textAlignment w:val="auto"/>
        <w:outlineLvl w:val="9"/>
        <w:rPr>
          <w:rFonts w:hint="eastAsia" w:ascii="Times New Roman" w:hAnsi="Times New Roman" w:eastAsia="方正小标宋简体"/>
          <w:color w:val="auto"/>
          <w:sz w:val="44"/>
          <w:highlight w:val="none"/>
        </w:rPr>
      </w:pPr>
    </w:p>
    <w:p>
      <w:pPr>
        <w:keepNext w:val="0"/>
        <w:keepLines w:val="0"/>
        <w:pageBreakBefore w:val="0"/>
        <w:widowControl w:val="0"/>
        <w:kinsoku/>
        <w:wordWrap/>
        <w:overflowPunct/>
        <w:topLinePunct w:val="0"/>
        <w:autoSpaceDE/>
        <w:autoSpaceDN/>
        <w:bidi w:val="0"/>
        <w:adjustRightInd/>
        <w:snapToGrid/>
        <w:spacing w:beforeAutospacing="0" w:line="580" w:lineRule="exact"/>
        <w:ind w:left="0" w:leftChars="0" w:right="0" w:rightChars="0" w:firstLine="0" w:firstLineChars="0"/>
        <w:jc w:val="center"/>
        <w:textAlignment w:val="auto"/>
        <w:rPr>
          <w:rFonts w:hint="eastAsia" w:ascii="方正小标宋简体" w:hAnsi="方正小标宋简体" w:eastAsia="方正小标宋简体" w:cs="方正小标宋简体"/>
          <w:color w:val="auto"/>
          <w:sz w:val="44"/>
          <w:szCs w:val="44"/>
          <w:highlight w:val="none"/>
          <w:lang w:val="en-US" w:eastAsia="zh-CN"/>
        </w:rPr>
      </w:pPr>
      <w:r>
        <w:rPr>
          <w:rFonts w:hint="eastAsia" w:ascii="方正小标宋简体" w:hAnsi="方正小标宋简体" w:eastAsia="方正小标宋简体" w:cs="方正小标宋简体"/>
          <w:color w:val="auto"/>
          <w:sz w:val="44"/>
          <w:szCs w:val="44"/>
          <w:highlight w:val="none"/>
          <w:lang w:val="en-US" w:eastAsia="zh-CN"/>
        </w:rPr>
        <w:t>2025年度山东省人力资源社会保障课题</w:t>
      </w:r>
    </w:p>
    <w:p>
      <w:pPr>
        <w:keepNext w:val="0"/>
        <w:keepLines w:val="0"/>
        <w:pageBreakBefore w:val="0"/>
        <w:widowControl w:val="0"/>
        <w:kinsoku/>
        <w:wordWrap/>
        <w:overflowPunct/>
        <w:topLinePunct w:val="0"/>
        <w:autoSpaceDE/>
        <w:autoSpaceDN/>
        <w:bidi w:val="0"/>
        <w:adjustRightInd/>
        <w:snapToGrid/>
        <w:spacing w:beforeAutospacing="0" w:line="580" w:lineRule="exact"/>
        <w:ind w:left="0" w:leftChars="0" w:right="0" w:rightChars="0" w:firstLine="0" w:firstLineChars="0"/>
        <w:jc w:val="center"/>
        <w:textAlignment w:val="auto"/>
        <w:rPr>
          <w:rFonts w:hint="eastAsia" w:ascii="方正小标宋简体" w:hAnsi="方正小标宋简体" w:eastAsia="方正小标宋简体" w:cs="方正小标宋简体"/>
          <w:color w:val="auto"/>
          <w:sz w:val="44"/>
          <w:szCs w:val="44"/>
          <w:highlight w:val="none"/>
          <w:lang w:val="en-US" w:eastAsia="zh-CN"/>
        </w:rPr>
      </w:pPr>
      <w:r>
        <w:rPr>
          <w:rFonts w:hint="eastAsia" w:ascii="方正小标宋简体" w:hAnsi="方正小标宋简体" w:eastAsia="方正小标宋简体" w:cs="方正小标宋简体"/>
          <w:color w:val="auto"/>
          <w:sz w:val="44"/>
          <w:szCs w:val="44"/>
          <w:highlight w:val="none"/>
          <w:lang w:val="en-US" w:eastAsia="zh-CN"/>
        </w:rPr>
        <w:t>选题指南</w:t>
      </w:r>
    </w:p>
    <w:p>
      <w:pPr>
        <w:keepNext w:val="0"/>
        <w:keepLines w:val="0"/>
        <w:pageBreakBefore w:val="0"/>
        <w:widowControl w:val="0"/>
        <w:kinsoku/>
        <w:wordWrap/>
        <w:overflowPunct w:val="0"/>
        <w:topLinePunct w:val="0"/>
        <w:autoSpaceDE/>
        <w:autoSpaceDN/>
        <w:bidi w:val="0"/>
        <w:adjustRightInd/>
        <w:snapToGrid/>
        <w:spacing w:beforeAutospacing="0" w:line="580" w:lineRule="exact"/>
        <w:ind w:left="0" w:leftChars="0" w:right="0" w:rightChars="0" w:firstLine="0" w:firstLineChars="0"/>
        <w:jc w:val="center"/>
        <w:textAlignment w:val="auto"/>
        <w:outlineLvl w:val="9"/>
        <w:rPr>
          <w:rFonts w:ascii="Times New Roman" w:hAnsi="Times New Roman" w:eastAsia="黑体"/>
          <w:color w:val="auto"/>
          <w:sz w:val="32"/>
          <w:highlight w:val="none"/>
        </w:rPr>
      </w:pPr>
    </w:p>
    <w:p>
      <w:pPr>
        <w:keepNext w:val="0"/>
        <w:keepLines w:val="0"/>
        <w:pageBreakBefore w:val="0"/>
        <w:widowControl w:val="0"/>
        <w:numPr>
          <w:ilvl w:val="0"/>
          <w:numId w:val="0"/>
        </w:numPr>
        <w:kinsoku/>
        <w:wordWrap/>
        <w:overflowPunct w:val="0"/>
        <w:topLinePunct w:val="0"/>
        <w:autoSpaceDE/>
        <w:autoSpaceDN/>
        <w:bidi w:val="0"/>
        <w:adjustRightInd/>
        <w:snapToGrid/>
        <w:spacing w:beforeAutospacing="0" w:line="580" w:lineRule="exact"/>
        <w:ind w:left="0" w:leftChars="0" w:right="0" w:rightChars="0" w:firstLine="632" w:firstLineChars="200"/>
        <w:jc w:val="both"/>
        <w:textAlignment w:val="auto"/>
        <w:outlineLvl w:val="9"/>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黑体" w:cs="黑体"/>
          <w:color w:val="auto"/>
          <w:sz w:val="32"/>
          <w:szCs w:val="32"/>
          <w:highlight w:val="none"/>
          <w:lang w:val="en-US" w:eastAsia="zh-CN"/>
        </w:rPr>
        <w:t>一、重大课题</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line="580" w:lineRule="exact"/>
        <w:ind w:left="0" w:leftChars="0" w:right="0" w:rightChars="0" w:firstLine="632" w:firstLineChars="200"/>
        <w:textAlignment w:val="auto"/>
        <w:rPr>
          <w:rFonts w:hint="eastAsia" w:ascii="楷体_GB2312" w:hAnsi="楷体_GB2312" w:eastAsia="楷体_GB2312" w:cs="楷体_GB2312"/>
          <w:color w:val="auto"/>
          <w:kern w:val="2"/>
          <w:sz w:val="32"/>
          <w:szCs w:val="24"/>
          <w:highlight w:val="none"/>
          <w:shd w:val="clear" w:fill="auto"/>
          <w:lang w:val="en-US" w:eastAsia="zh-CN" w:bidi="ar-SA"/>
        </w:rPr>
      </w:pPr>
      <w:r>
        <w:rPr>
          <w:rFonts w:hint="eastAsia" w:ascii="楷体_GB2312" w:hAnsi="楷体_GB2312" w:eastAsia="楷体_GB2312" w:cs="楷体_GB2312"/>
          <w:color w:val="auto"/>
          <w:kern w:val="2"/>
          <w:sz w:val="32"/>
          <w:szCs w:val="24"/>
          <w:highlight w:val="none"/>
          <w:shd w:val="clear" w:fill="auto"/>
          <w:lang w:val="en-US" w:eastAsia="zh-CN" w:bidi="ar-SA"/>
        </w:rPr>
        <w:t>（一）提振消费背景下新就业增长点研究</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line="580" w:lineRule="exact"/>
        <w:ind w:left="0" w:leftChars="0" w:right="0" w:rightChars="0" w:firstLine="632" w:firstLineChars="200"/>
        <w:textAlignment w:val="auto"/>
        <w:rPr>
          <w:rFonts w:hint="eastAsia" w:ascii="仿宋_GB2312" w:hAnsi="仿宋_GB2312" w:eastAsia="仿宋_GB2312" w:cs="仿宋_GB2312"/>
          <w:color w:val="auto"/>
          <w:kern w:val="2"/>
          <w:sz w:val="32"/>
          <w:szCs w:val="24"/>
          <w:highlight w:val="none"/>
          <w:shd w:val="clear" w:fill="auto"/>
          <w:lang w:val="en-US" w:eastAsia="zh-CN" w:bidi="ar-SA"/>
        </w:rPr>
      </w:pPr>
      <w:r>
        <w:rPr>
          <w:rFonts w:hint="eastAsia" w:ascii="仿宋_GB2312" w:hAnsi="仿宋_GB2312" w:eastAsia="仿宋_GB2312" w:cs="仿宋_GB2312"/>
          <w:color w:val="auto"/>
          <w:sz w:val="32"/>
          <w:highlight w:val="none"/>
          <w:lang w:val="en-US" w:eastAsia="zh-CN"/>
        </w:rPr>
        <w:t>通过对提振消费领域及就业潜力研究，分析提振消费背景下就业增长的特征与趋势，深入挖掘提振消费背景下的新的就业增长点，研究提出提振消费与就业增长良性互动的对策建议，推动消费新热点转化为就业新渠道。</w:t>
      </w:r>
    </w:p>
    <w:p>
      <w:pPr>
        <w:keepNext w:val="0"/>
        <w:keepLines w:val="0"/>
        <w:pageBreakBefore w:val="0"/>
        <w:widowControl w:val="0"/>
        <w:numPr>
          <w:ilvl w:val="0"/>
          <w:numId w:val="1"/>
        </w:numPr>
        <w:kinsoku/>
        <w:wordWrap/>
        <w:overflowPunct/>
        <w:topLinePunct w:val="0"/>
        <w:autoSpaceDE/>
        <w:autoSpaceDN/>
        <w:bidi w:val="0"/>
        <w:adjustRightInd/>
        <w:snapToGrid/>
        <w:spacing w:beforeAutospacing="0" w:line="580" w:lineRule="exact"/>
        <w:ind w:left="0" w:leftChars="0" w:right="0" w:rightChars="0" w:firstLine="632" w:firstLineChars="200"/>
        <w:jc w:val="both"/>
        <w:textAlignment w:val="auto"/>
        <w:outlineLvl w:val="9"/>
        <w:rPr>
          <w:rFonts w:hint="eastAsia" w:ascii="楷体_GB2312" w:hAnsi="楷体_GB2312" w:eastAsia="楷体_GB2312" w:cs="楷体_GB2312"/>
          <w:color w:val="auto"/>
          <w:highlight w:val="none"/>
          <w:shd w:val="clear" w:fill="auto"/>
          <w:lang w:val="en-US" w:eastAsia="zh-CN"/>
        </w:rPr>
      </w:pPr>
      <w:r>
        <w:rPr>
          <w:rFonts w:hint="eastAsia" w:ascii="楷体_GB2312" w:hAnsi="楷体_GB2312" w:eastAsia="楷体_GB2312" w:cs="楷体_GB2312"/>
          <w:color w:val="auto"/>
          <w:highlight w:val="none"/>
          <w:shd w:val="clear" w:fill="auto"/>
          <w:lang w:val="en-US" w:eastAsia="zh-CN"/>
        </w:rPr>
        <w:t>职业技能培训体制机制创新研究</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line="580" w:lineRule="exact"/>
        <w:ind w:left="0" w:leftChars="0" w:right="0" w:rightChars="0" w:firstLine="632" w:firstLineChars="200"/>
        <w:textAlignment w:val="auto"/>
        <w:rPr>
          <w:rFonts w:hint="eastAsia" w:ascii="仿宋_GB2312" w:hAnsi="仿宋_GB2312" w:eastAsia="仿宋_GB2312" w:cs="仿宋_GB2312"/>
          <w:color w:val="auto"/>
          <w:sz w:val="32"/>
          <w:highlight w:val="none"/>
          <w:lang w:val="en-US" w:eastAsia="zh-CN"/>
        </w:rPr>
      </w:pPr>
      <w:r>
        <w:rPr>
          <w:rFonts w:hint="eastAsia" w:ascii="仿宋_GB2312" w:hAnsi="仿宋_GB2312" w:eastAsia="仿宋_GB2312" w:cs="仿宋_GB2312"/>
          <w:color w:val="auto"/>
          <w:sz w:val="32"/>
          <w:highlight w:val="none"/>
          <w:lang w:val="en-US" w:eastAsia="zh-CN"/>
        </w:rPr>
        <w:t>深刻把握职业技能培训在促进就业、缓解就业结构性矛盾、助推产业升级中的积极作用，深入剖析制约我省职业技能培训高质量发展的难点堵点，在充分借鉴外省职业技能培训的有效模式及经验做法的基础上，聚焦职业培训师资队伍建设、市场培育、补贴性培训质量保证等，研究提出我省职业技能培训改革创新对策建议。</w:t>
      </w:r>
    </w:p>
    <w:p>
      <w:pPr>
        <w:keepNext w:val="0"/>
        <w:keepLines w:val="0"/>
        <w:pageBreakBefore w:val="0"/>
        <w:widowControl w:val="0"/>
        <w:numPr>
          <w:ilvl w:val="0"/>
          <w:numId w:val="0"/>
        </w:numPr>
        <w:kinsoku/>
        <w:wordWrap/>
        <w:overflowPunct w:val="0"/>
        <w:topLinePunct w:val="0"/>
        <w:autoSpaceDE/>
        <w:autoSpaceDN/>
        <w:bidi w:val="0"/>
        <w:adjustRightInd/>
        <w:snapToGrid/>
        <w:spacing w:beforeAutospacing="0" w:line="580" w:lineRule="exact"/>
        <w:ind w:left="0" w:leftChars="0" w:right="0" w:rightChars="0" w:firstLine="632" w:firstLineChars="200"/>
        <w:jc w:val="both"/>
        <w:textAlignment w:val="auto"/>
        <w:outlineLvl w:val="9"/>
        <w:rPr>
          <w:rFonts w:hint="eastAsia" w:ascii="Times New Roman" w:hAnsi="Times New Roman" w:eastAsia="黑体" w:cs="黑体"/>
          <w:color w:val="auto"/>
          <w:szCs w:val="32"/>
          <w:highlight w:val="none"/>
          <w:lang w:val="en-US" w:eastAsia="zh-CN"/>
        </w:rPr>
      </w:pPr>
      <w:r>
        <w:rPr>
          <w:rFonts w:hint="eastAsia" w:ascii="Times New Roman" w:hAnsi="Times New Roman" w:eastAsia="黑体" w:cs="黑体"/>
          <w:color w:val="auto"/>
          <w:szCs w:val="32"/>
          <w:highlight w:val="none"/>
          <w:lang w:val="en-US" w:eastAsia="zh-CN"/>
        </w:rPr>
        <w:t>二、重点课题</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line="580" w:lineRule="exact"/>
        <w:ind w:left="0" w:leftChars="0" w:right="0" w:rightChars="0" w:firstLine="641" w:firstLineChars="0"/>
        <w:textAlignment w:val="auto"/>
        <w:rPr>
          <w:rFonts w:hint="eastAsia" w:ascii="楷体_GB2312" w:hAnsi="楷体_GB2312" w:eastAsia="楷体_GB2312" w:cs="楷体_GB2312"/>
          <w:color w:val="auto"/>
          <w:sz w:val="32"/>
          <w:szCs w:val="32"/>
          <w:highlight w:val="none"/>
          <w:lang w:val="en-US" w:eastAsia="zh-CN"/>
        </w:rPr>
      </w:pPr>
      <w:r>
        <w:rPr>
          <w:rFonts w:hint="eastAsia" w:ascii="楷体_GB2312" w:hAnsi="楷体_GB2312" w:eastAsia="楷体_GB2312" w:cs="楷体_GB2312"/>
          <w:color w:val="auto"/>
          <w:kern w:val="2"/>
          <w:sz w:val="32"/>
          <w:szCs w:val="32"/>
          <w:highlight w:val="none"/>
          <w:lang w:val="en-US" w:eastAsia="zh-CN" w:bidi="ar-SA"/>
        </w:rPr>
        <w:t>（一）</w:t>
      </w:r>
      <w:r>
        <w:rPr>
          <w:rFonts w:hint="eastAsia" w:ascii="楷体_GB2312" w:hAnsi="楷体_GB2312" w:eastAsia="楷体_GB2312" w:cs="楷体_GB2312"/>
          <w:color w:val="auto"/>
          <w:sz w:val="32"/>
          <w:szCs w:val="32"/>
          <w:highlight w:val="none"/>
          <w:lang w:val="en-US" w:eastAsia="zh-CN"/>
        </w:rPr>
        <w:t>“十五五”时期经济社会发展对山东人社事业影响及对策研究</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line="580" w:lineRule="exact"/>
        <w:ind w:left="0" w:leftChars="0" w:right="0" w:rightChars="0" w:firstLine="632" w:firstLineChars="200"/>
        <w:textAlignment w:val="auto"/>
        <w:rPr>
          <w:rFonts w:hint="eastAsia" w:ascii="仿宋_GB2312" w:hAnsi="仿宋_GB2312" w:eastAsia="仿宋_GB2312" w:cs="仿宋_GB2312"/>
          <w:color w:val="auto"/>
          <w:sz w:val="32"/>
          <w:highlight w:val="none"/>
          <w:lang w:val="en-US" w:eastAsia="zh-CN"/>
        </w:rPr>
      </w:pPr>
      <w:r>
        <w:rPr>
          <w:rFonts w:hint="eastAsia" w:ascii="仿宋_GB2312" w:hAnsi="仿宋_GB2312" w:eastAsia="仿宋_GB2312" w:cs="仿宋_GB2312"/>
          <w:color w:val="auto"/>
          <w:sz w:val="32"/>
          <w:highlight w:val="none"/>
          <w:lang w:val="en-US" w:eastAsia="zh-CN"/>
        </w:rPr>
        <w:t>预测分析“十五五”时期国内外经济社会发展变革对山东人力资源社会保障事业带来的影响，研究就业创业、社会保障、人才人事、劳动关系等工作面临的机遇挑战和瓶颈制约，提出“十五五”时期山东人力资源社会保障事业高质量发展的重点任务、重大政策和对策建议。</w:t>
      </w:r>
    </w:p>
    <w:p>
      <w:pPr>
        <w:keepNext w:val="0"/>
        <w:keepLines w:val="0"/>
        <w:pageBreakBefore w:val="0"/>
        <w:widowControl w:val="0"/>
        <w:kinsoku/>
        <w:wordWrap/>
        <w:overflowPunct w:val="0"/>
        <w:topLinePunct w:val="0"/>
        <w:autoSpaceDE/>
        <w:autoSpaceDN/>
        <w:bidi w:val="0"/>
        <w:adjustRightInd/>
        <w:snapToGrid/>
        <w:spacing w:beforeAutospacing="0" w:line="580" w:lineRule="exact"/>
        <w:ind w:left="0" w:leftChars="0" w:right="0" w:rightChars="0" w:firstLine="632" w:firstLineChars="200"/>
        <w:textAlignment w:val="auto"/>
        <w:outlineLvl w:val="9"/>
        <w:rPr>
          <w:rFonts w:hint="default" w:ascii="楷体_GB2312" w:hAnsi="楷体_GB2312" w:eastAsia="楷体_GB2312" w:cs="楷体_GB2312"/>
          <w:color w:val="auto"/>
          <w:sz w:val="32"/>
          <w:szCs w:val="32"/>
          <w:highlight w:val="none"/>
          <w:lang w:val="en-US" w:eastAsia="zh-CN"/>
        </w:rPr>
      </w:pPr>
      <w:r>
        <w:rPr>
          <w:rFonts w:hint="eastAsia" w:ascii="楷体_GB2312" w:hAnsi="楷体_GB2312" w:eastAsia="楷体_GB2312" w:cs="楷体_GB2312"/>
          <w:color w:val="auto"/>
          <w:sz w:val="32"/>
          <w:szCs w:val="32"/>
          <w:highlight w:val="none"/>
          <w:lang w:val="en-US" w:eastAsia="zh-CN"/>
        </w:rPr>
        <w:t>（二）全球产业链重构对就业的影响及应对策略研究</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line="580" w:lineRule="exact"/>
        <w:ind w:left="0" w:leftChars="0" w:right="0" w:rightChars="0" w:firstLine="632" w:firstLineChars="200"/>
        <w:textAlignment w:val="auto"/>
        <w:rPr>
          <w:rFonts w:hint="eastAsia" w:ascii="仿宋_GB2312" w:hAnsi="仿宋_GB2312" w:eastAsia="仿宋_GB2312" w:cs="仿宋_GB2312"/>
          <w:color w:val="auto"/>
          <w:sz w:val="32"/>
          <w:highlight w:val="none"/>
          <w:lang w:val="en-US" w:eastAsia="zh-CN"/>
        </w:rPr>
      </w:pPr>
      <w:r>
        <w:rPr>
          <w:rFonts w:hint="eastAsia" w:ascii="仿宋_GB2312" w:hAnsi="仿宋_GB2312" w:eastAsia="仿宋_GB2312" w:cs="仿宋_GB2312"/>
          <w:color w:val="auto"/>
          <w:sz w:val="32"/>
          <w:highlight w:val="none"/>
          <w:lang w:val="en-US" w:eastAsia="zh-CN"/>
        </w:rPr>
        <w:t>深入剖析全球产业链供应链重构的现状与趋势，精准洞察其对山东就业格局的影响，着重分析传统产业和新兴产业在就业规模、结构以及技能需求方面的变化态势，并据此提出切实可行的对策建议。</w:t>
      </w:r>
    </w:p>
    <w:p>
      <w:pPr>
        <w:keepNext w:val="0"/>
        <w:keepLines w:val="0"/>
        <w:pageBreakBefore w:val="0"/>
        <w:widowControl w:val="0"/>
        <w:kinsoku/>
        <w:wordWrap/>
        <w:overflowPunct w:val="0"/>
        <w:topLinePunct w:val="0"/>
        <w:autoSpaceDE/>
        <w:autoSpaceDN/>
        <w:bidi w:val="0"/>
        <w:adjustRightInd/>
        <w:snapToGrid/>
        <w:spacing w:beforeAutospacing="0" w:line="580" w:lineRule="exact"/>
        <w:ind w:left="0" w:leftChars="0" w:right="0" w:rightChars="0" w:firstLine="632" w:firstLineChars="200"/>
        <w:textAlignment w:val="auto"/>
        <w:outlineLvl w:val="9"/>
        <w:rPr>
          <w:rFonts w:hint="eastAsia" w:ascii="楷体_GB2312" w:hAnsi="楷体_GB2312" w:eastAsia="楷体_GB2312" w:cs="楷体_GB2312"/>
          <w:b w:val="0"/>
          <w:bCs w:val="0"/>
          <w:color w:val="auto"/>
          <w:sz w:val="32"/>
          <w:szCs w:val="32"/>
          <w:highlight w:val="none"/>
          <w:lang w:val="en-US" w:eastAsia="zh-CN"/>
        </w:rPr>
      </w:pPr>
      <w:r>
        <w:rPr>
          <w:rFonts w:hint="eastAsia" w:ascii="楷体_GB2312" w:hAnsi="楷体_GB2312" w:eastAsia="楷体_GB2312" w:cs="楷体_GB2312"/>
          <w:b w:val="0"/>
          <w:bCs w:val="0"/>
          <w:color w:val="auto"/>
          <w:sz w:val="32"/>
          <w:szCs w:val="32"/>
          <w:highlight w:val="none"/>
          <w:lang w:val="en-US" w:eastAsia="zh-CN"/>
        </w:rPr>
        <w:t>（三）人力资源服务助力制造业高质量发展路径研究</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line="580" w:lineRule="exact"/>
        <w:ind w:left="0" w:leftChars="0" w:right="0" w:rightChars="0" w:firstLine="632" w:firstLineChars="200"/>
        <w:textAlignment w:val="auto"/>
        <w:rPr>
          <w:rFonts w:hint="eastAsia" w:ascii="仿宋_GB2312" w:hAnsi="仿宋_GB2312" w:eastAsia="仿宋_GB2312" w:cs="仿宋_GB2312"/>
          <w:color w:val="auto"/>
          <w:sz w:val="32"/>
          <w:highlight w:val="none"/>
          <w:lang w:val="en-US" w:eastAsia="zh-CN"/>
        </w:rPr>
      </w:pPr>
      <w:r>
        <w:rPr>
          <w:rFonts w:hint="eastAsia" w:ascii="仿宋_GB2312" w:hAnsi="仿宋_GB2312" w:eastAsia="仿宋_GB2312" w:cs="仿宋_GB2312"/>
          <w:color w:val="auto"/>
          <w:sz w:val="32"/>
          <w:highlight w:val="none"/>
          <w:lang w:val="en-US" w:eastAsia="zh-CN"/>
        </w:rPr>
        <w:t>聚焦制造业高质量发展的需求和人力资源服务的价值作用，通过调研研判人力资源服务助力制造业高质量发展存在的问题与挑战，总结提炼省内外人力资源服务助力制造业高质量发展的典型服务模式与实践案例，从制造业人力资源管理、制造业中小企业人力资源服务业、制造业国际化人力资源服务等角度，研究人力资源服务机构在制造业领域的专业化服务能力提升路径。</w:t>
      </w:r>
    </w:p>
    <w:p>
      <w:pPr>
        <w:keepNext w:val="0"/>
        <w:keepLines w:val="0"/>
        <w:pageBreakBefore w:val="0"/>
        <w:widowControl w:val="0"/>
        <w:kinsoku/>
        <w:wordWrap/>
        <w:overflowPunct w:val="0"/>
        <w:topLinePunct w:val="0"/>
        <w:autoSpaceDE/>
        <w:autoSpaceDN/>
        <w:bidi w:val="0"/>
        <w:adjustRightInd/>
        <w:snapToGrid/>
        <w:spacing w:beforeAutospacing="0" w:line="580" w:lineRule="exact"/>
        <w:ind w:left="0" w:leftChars="0" w:right="0" w:rightChars="0" w:firstLine="632" w:firstLineChars="200"/>
        <w:textAlignment w:val="auto"/>
        <w:outlineLvl w:val="9"/>
        <w:rPr>
          <w:rFonts w:hint="eastAsia" w:ascii="楷体_GB2312" w:hAnsi="楷体_GB2312" w:eastAsia="楷体_GB2312" w:cs="楷体_GB2312"/>
          <w:b w:val="0"/>
          <w:bCs w:val="0"/>
          <w:color w:val="auto"/>
          <w:sz w:val="32"/>
          <w:szCs w:val="32"/>
          <w:highlight w:val="none"/>
          <w:lang w:val="en-US" w:eastAsia="zh-CN"/>
        </w:rPr>
      </w:pPr>
      <w:r>
        <w:rPr>
          <w:rFonts w:hint="eastAsia" w:ascii="楷体_GB2312" w:hAnsi="楷体_GB2312" w:eastAsia="楷体_GB2312" w:cs="楷体_GB2312"/>
          <w:b w:val="0"/>
          <w:bCs w:val="0"/>
          <w:color w:val="auto"/>
          <w:sz w:val="32"/>
          <w:szCs w:val="32"/>
          <w:highlight w:val="none"/>
          <w:lang w:val="en-US" w:eastAsia="zh-CN"/>
        </w:rPr>
        <w:t>（四）新型城镇化背景下农村劳动力就业路径探究</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line="580" w:lineRule="exact"/>
        <w:ind w:left="0" w:leftChars="0" w:right="0" w:rightChars="0" w:firstLine="632" w:firstLineChars="200"/>
        <w:textAlignment w:val="auto"/>
        <w:rPr>
          <w:rFonts w:hint="eastAsia" w:ascii="仿宋_GB2312" w:hAnsi="仿宋_GB2312" w:eastAsia="仿宋_GB2312" w:cs="仿宋_GB2312"/>
          <w:color w:val="auto"/>
          <w:sz w:val="32"/>
          <w:highlight w:val="none"/>
          <w:lang w:val="en-US" w:eastAsia="zh-CN"/>
        </w:rPr>
      </w:pPr>
      <w:r>
        <w:rPr>
          <w:rFonts w:hint="eastAsia" w:ascii="仿宋_GB2312" w:hAnsi="仿宋_GB2312" w:eastAsia="仿宋_GB2312" w:cs="仿宋_GB2312"/>
          <w:color w:val="auto"/>
          <w:sz w:val="32"/>
          <w:highlight w:val="none"/>
          <w:lang w:val="en-US" w:eastAsia="zh-CN"/>
        </w:rPr>
        <w:t>在分析协同推进新型城镇化和乡村全面振兴意义的基础上，系统梳理省外农村劳动力就业模式和城镇化发展方式及山东农村劳动力就业历史进程，剖析当前山东农村劳动力就业面临的形势，探索提出破解农村劳动力就业结构性矛盾的路径和对策，为建成中国式现代化要求的农村劳动力就业齐鲁样板提供理论支撑。</w:t>
      </w:r>
    </w:p>
    <w:p>
      <w:pPr>
        <w:keepNext w:val="0"/>
        <w:keepLines w:val="0"/>
        <w:pageBreakBefore w:val="0"/>
        <w:widowControl w:val="0"/>
        <w:numPr>
          <w:ilvl w:val="0"/>
          <w:numId w:val="0"/>
        </w:numPr>
        <w:kinsoku/>
        <w:wordWrap/>
        <w:overflowPunct w:val="0"/>
        <w:topLinePunct w:val="0"/>
        <w:autoSpaceDE/>
        <w:autoSpaceDN/>
        <w:bidi w:val="0"/>
        <w:adjustRightInd/>
        <w:snapToGrid/>
        <w:spacing w:beforeAutospacing="0" w:line="580" w:lineRule="exact"/>
        <w:ind w:left="0" w:leftChars="0" w:right="0" w:rightChars="0" w:firstLine="632" w:firstLineChars="200"/>
        <w:textAlignment w:val="auto"/>
        <w:outlineLvl w:val="9"/>
        <w:rPr>
          <w:rFonts w:hint="eastAsia" w:ascii="楷体_GB2312" w:hAnsi="楷体_GB2312" w:eastAsia="楷体_GB2312" w:cs="楷体_GB2312"/>
          <w:color w:val="auto"/>
          <w:highlight w:val="none"/>
          <w:lang w:val="en-US" w:eastAsia="zh-CN"/>
        </w:rPr>
      </w:pPr>
      <w:r>
        <w:rPr>
          <w:rFonts w:hint="eastAsia" w:ascii="楷体_GB2312" w:hAnsi="楷体_GB2312" w:eastAsia="楷体_GB2312" w:cs="楷体_GB2312"/>
          <w:color w:val="auto"/>
          <w:highlight w:val="none"/>
          <w:lang w:val="en-US" w:eastAsia="zh-CN"/>
        </w:rPr>
        <w:t>（五）企业职工养老保险“两率”提升路径研究</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line="580" w:lineRule="exact"/>
        <w:ind w:left="0" w:leftChars="0" w:right="0" w:rightChars="0" w:firstLine="632" w:firstLineChars="200"/>
        <w:textAlignment w:val="auto"/>
        <w:rPr>
          <w:rFonts w:hint="default" w:ascii="仿宋_GB2312" w:hAnsi="仿宋_GB2312" w:eastAsia="仿宋_GB2312" w:cs="仿宋_GB2312"/>
          <w:color w:val="auto"/>
          <w:sz w:val="32"/>
          <w:highlight w:val="none"/>
          <w:lang w:val="en-US" w:eastAsia="zh-CN"/>
        </w:rPr>
      </w:pPr>
      <w:r>
        <w:rPr>
          <w:rFonts w:hint="eastAsia" w:ascii="仿宋_GB2312" w:hAnsi="仿宋_GB2312" w:eastAsia="仿宋_GB2312" w:cs="仿宋_GB2312"/>
          <w:color w:val="auto"/>
          <w:sz w:val="32"/>
          <w:highlight w:val="none"/>
          <w:lang w:val="en-US" w:eastAsia="zh-CN"/>
        </w:rPr>
        <w:t>结合</w:t>
      </w:r>
      <w:r>
        <w:rPr>
          <w:rFonts w:hint="default" w:ascii="仿宋_GB2312" w:hAnsi="仿宋_GB2312" w:eastAsia="仿宋_GB2312" w:cs="仿宋_GB2312"/>
          <w:color w:val="auto"/>
          <w:sz w:val="32"/>
          <w:highlight w:val="none"/>
          <w:lang w:val="en-US" w:eastAsia="zh-CN"/>
        </w:rPr>
        <w:t>目前企业养老保险参保现状，通过实地调研、数据分析、案例研究等方式，深入分析企业养老保险参保面临的困难和问题，提出促进</w:t>
      </w:r>
      <w:r>
        <w:rPr>
          <w:rFonts w:hint="eastAsia" w:ascii="仿宋_GB2312" w:hAnsi="仿宋_GB2312" w:eastAsia="仿宋_GB2312" w:cs="仿宋_GB2312"/>
          <w:color w:val="auto"/>
          <w:sz w:val="32"/>
          <w:highlight w:val="none"/>
          <w:lang w:val="en-US" w:eastAsia="zh-CN"/>
        </w:rPr>
        <w:t>“两率”（缴</w:t>
      </w:r>
      <w:r>
        <w:rPr>
          <w:rFonts w:hint="default" w:ascii="仿宋_GB2312" w:hAnsi="仿宋_GB2312" w:eastAsia="仿宋_GB2312" w:cs="仿宋_GB2312"/>
          <w:color w:val="auto"/>
          <w:sz w:val="32"/>
          <w:highlight w:val="none"/>
          <w:lang w:val="en-US" w:eastAsia="zh-CN"/>
        </w:rPr>
        <w:t>费人数占应参保人数的比率、平均缴费工资占单位就业人员平均工资的比率</w:t>
      </w:r>
      <w:r>
        <w:rPr>
          <w:rFonts w:hint="eastAsia" w:ascii="仿宋_GB2312" w:hAnsi="仿宋_GB2312" w:eastAsia="仿宋_GB2312" w:cs="仿宋_GB2312"/>
          <w:color w:val="auto"/>
          <w:sz w:val="32"/>
          <w:highlight w:val="none"/>
          <w:lang w:val="en-US" w:eastAsia="zh-CN"/>
        </w:rPr>
        <w:t>）</w:t>
      </w:r>
      <w:r>
        <w:rPr>
          <w:rFonts w:hint="default" w:ascii="仿宋_GB2312" w:hAnsi="仿宋_GB2312" w:eastAsia="仿宋_GB2312" w:cs="仿宋_GB2312"/>
          <w:color w:val="auto"/>
          <w:sz w:val="32"/>
          <w:highlight w:val="none"/>
          <w:lang w:val="en-US" w:eastAsia="zh-CN"/>
        </w:rPr>
        <w:t>提升的有效措施，为优化我省养老保险参保结构、提升参保质效、促进养老保险制度平稳运行提供</w:t>
      </w:r>
      <w:r>
        <w:rPr>
          <w:rFonts w:hint="eastAsia" w:ascii="仿宋_GB2312" w:hAnsi="仿宋_GB2312" w:eastAsia="仿宋_GB2312" w:cs="仿宋_GB2312"/>
          <w:color w:val="auto"/>
          <w:sz w:val="32"/>
          <w:highlight w:val="none"/>
          <w:lang w:val="en-US" w:eastAsia="zh-CN"/>
        </w:rPr>
        <w:t>理论</w:t>
      </w:r>
      <w:r>
        <w:rPr>
          <w:rFonts w:hint="default" w:ascii="仿宋_GB2312" w:hAnsi="仿宋_GB2312" w:eastAsia="仿宋_GB2312" w:cs="仿宋_GB2312"/>
          <w:color w:val="auto"/>
          <w:sz w:val="32"/>
          <w:highlight w:val="none"/>
          <w:lang w:val="en-US" w:eastAsia="zh-CN"/>
        </w:rPr>
        <w:t>支撑。</w:t>
      </w:r>
    </w:p>
    <w:p>
      <w:pPr>
        <w:keepNext w:val="0"/>
        <w:keepLines w:val="0"/>
        <w:pageBreakBefore w:val="0"/>
        <w:widowControl w:val="0"/>
        <w:numPr>
          <w:ilvl w:val="0"/>
          <w:numId w:val="0"/>
        </w:numPr>
        <w:kinsoku/>
        <w:wordWrap/>
        <w:overflowPunct w:val="0"/>
        <w:topLinePunct w:val="0"/>
        <w:autoSpaceDE/>
        <w:autoSpaceDN/>
        <w:bidi w:val="0"/>
        <w:adjustRightInd/>
        <w:snapToGrid/>
        <w:spacing w:beforeAutospacing="0" w:line="580" w:lineRule="exact"/>
        <w:ind w:left="0" w:leftChars="0" w:right="0" w:rightChars="0" w:firstLine="632" w:firstLineChars="200"/>
        <w:textAlignment w:val="auto"/>
        <w:outlineLvl w:val="9"/>
        <w:rPr>
          <w:rFonts w:hint="eastAsia" w:ascii="楷体_GB2312" w:hAnsi="楷体_GB2312" w:eastAsia="楷体_GB2312" w:cs="楷体_GB2312"/>
          <w:color w:val="auto"/>
          <w:sz w:val="32"/>
          <w:szCs w:val="32"/>
          <w:highlight w:val="none"/>
          <w:lang w:val="en-US" w:eastAsia="zh-CN"/>
        </w:rPr>
      </w:pPr>
      <w:r>
        <w:rPr>
          <w:rFonts w:hint="eastAsia" w:ascii="楷体_GB2312" w:hAnsi="楷体_GB2312" w:eastAsia="楷体_GB2312" w:cs="楷体_GB2312"/>
          <w:color w:val="auto"/>
          <w:kern w:val="2"/>
          <w:sz w:val="32"/>
          <w:szCs w:val="32"/>
          <w:highlight w:val="none"/>
          <w:lang w:val="en-US" w:eastAsia="zh-CN" w:bidi="ar-SA"/>
        </w:rPr>
        <w:t>（六）</w:t>
      </w:r>
      <w:r>
        <w:rPr>
          <w:rFonts w:hint="eastAsia" w:ascii="楷体_GB2312" w:hAnsi="楷体_GB2312" w:eastAsia="楷体_GB2312" w:cs="楷体_GB2312"/>
          <w:color w:val="auto"/>
          <w:sz w:val="32"/>
          <w:szCs w:val="32"/>
          <w:highlight w:val="none"/>
          <w:lang w:val="en-US" w:eastAsia="zh-CN"/>
        </w:rPr>
        <w:t>超龄人员和实习学生等特定从业人员工伤保险实施现状研究</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line="580" w:lineRule="exact"/>
        <w:ind w:left="0" w:leftChars="0" w:right="0" w:rightChars="0" w:firstLine="632" w:firstLineChars="200"/>
        <w:textAlignment w:val="auto"/>
        <w:rPr>
          <w:rFonts w:hint="eastAsia" w:ascii="仿宋_GB2312" w:hAnsi="仿宋_GB2312" w:eastAsia="仿宋_GB2312" w:cs="仿宋_GB2312"/>
          <w:color w:val="auto"/>
          <w:sz w:val="32"/>
          <w:highlight w:val="none"/>
          <w:lang w:val="en-US" w:eastAsia="zh-CN"/>
        </w:rPr>
      </w:pPr>
      <w:r>
        <w:rPr>
          <w:rFonts w:hint="eastAsia" w:ascii="仿宋_GB2312" w:hAnsi="仿宋_GB2312" w:eastAsia="仿宋_GB2312" w:cs="仿宋_GB2312"/>
          <w:color w:val="auto"/>
          <w:sz w:val="32"/>
          <w:highlight w:val="none"/>
          <w:lang w:val="en-US" w:eastAsia="zh-CN"/>
        </w:rPr>
        <w:t>通过深入广泛调研，从参保从业单位、特定从业人员和人社部门角度了解特定从业人员参保、工伤认定、劳动能力鉴定、待遇支付等方面执行情况、面临的问题，以及未参保从业单位（超龄人员、实习学生等明显集聚的单位）存在的顾虑，在充分掌握实施现状并听取各方意见建议基础上，提出完善我省特定从业人员工伤保险的对策建议。</w:t>
      </w:r>
    </w:p>
    <w:p>
      <w:pPr>
        <w:keepNext w:val="0"/>
        <w:keepLines w:val="0"/>
        <w:pageBreakBefore w:val="0"/>
        <w:widowControl w:val="0"/>
        <w:kinsoku/>
        <w:wordWrap/>
        <w:overflowPunct/>
        <w:topLinePunct w:val="0"/>
        <w:autoSpaceDE/>
        <w:autoSpaceDN/>
        <w:bidi w:val="0"/>
        <w:adjustRightInd/>
        <w:snapToGrid/>
        <w:spacing w:beforeAutospacing="0" w:line="580" w:lineRule="exact"/>
        <w:ind w:left="0" w:leftChars="0" w:right="0" w:rightChars="0" w:firstLine="632" w:firstLineChars="200"/>
        <w:textAlignment w:val="auto"/>
        <w:outlineLvl w:val="9"/>
        <w:rPr>
          <w:rFonts w:hint="eastAsia" w:ascii="楷体_GB2312" w:hAnsi="楷体_GB2312" w:eastAsia="楷体_GB2312" w:cs="楷体_GB2312"/>
          <w:color w:val="auto"/>
          <w:sz w:val="32"/>
          <w:szCs w:val="32"/>
          <w:highlight w:val="none"/>
          <w:lang w:val="en-US" w:eastAsia="zh-CN"/>
        </w:rPr>
      </w:pPr>
      <w:r>
        <w:rPr>
          <w:rFonts w:hint="eastAsia" w:ascii="楷体_GB2312" w:hAnsi="楷体_GB2312" w:eastAsia="楷体_GB2312" w:cs="楷体_GB2312"/>
          <w:color w:val="auto"/>
          <w:sz w:val="32"/>
          <w:szCs w:val="32"/>
          <w:highlight w:val="none"/>
          <w:lang w:val="en-US" w:eastAsia="zh-CN"/>
        </w:rPr>
        <w:t>（七）人工智能助推社保经办数字化、智能化转型研究</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line="580" w:lineRule="exact"/>
        <w:ind w:left="0" w:leftChars="0" w:right="0" w:rightChars="0" w:firstLine="632" w:firstLineChars="200"/>
        <w:textAlignment w:val="auto"/>
        <w:rPr>
          <w:rFonts w:hint="eastAsia" w:ascii="仿宋_GB2312" w:hAnsi="仿宋_GB2312" w:eastAsia="仿宋_GB2312" w:cs="仿宋_GB2312"/>
          <w:color w:val="auto"/>
          <w:sz w:val="32"/>
          <w:highlight w:val="none"/>
          <w:lang w:val="en-US" w:eastAsia="zh-CN"/>
        </w:rPr>
      </w:pPr>
      <w:r>
        <w:rPr>
          <w:rFonts w:hint="eastAsia" w:ascii="仿宋_GB2312" w:hAnsi="仿宋_GB2312" w:eastAsia="仿宋_GB2312" w:cs="仿宋_GB2312"/>
          <w:color w:val="auto"/>
          <w:sz w:val="32"/>
          <w:highlight w:val="none"/>
          <w:lang w:val="en-US" w:eastAsia="zh-CN"/>
        </w:rPr>
        <w:t>针对人工智能等新技术带来的机遇和挑战，围绕人工智能助推社保经办数字化、智能化转型的关键技术、实施路径、应用场景、安全保障等方面展开深入研究，提出符合山东实际的人工智能助推社保经办数字化、智能化转型路径，为推动创新社保经办服务体系提供理论支撑和实践指导。</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line="580" w:lineRule="exact"/>
        <w:ind w:left="0" w:leftChars="0" w:right="0" w:rightChars="0" w:firstLine="632" w:firstLineChars="200"/>
        <w:textAlignment w:val="auto"/>
        <w:rPr>
          <w:rFonts w:hint="eastAsia" w:ascii="楷体_GB2312" w:hAnsi="楷体_GB2312" w:eastAsia="楷体_GB2312" w:cs="楷体_GB2312"/>
          <w:color w:val="auto"/>
          <w:sz w:val="32"/>
          <w:highlight w:val="none"/>
          <w:shd w:val="clear" w:color="auto" w:fill="auto"/>
          <w:lang w:val="en-US" w:eastAsia="zh-CN"/>
        </w:rPr>
      </w:pPr>
      <w:r>
        <w:rPr>
          <w:rFonts w:hint="eastAsia" w:ascii="楷体_GB2312" w:hAnsi="楷体_GB2312" w:eastAsia="楷体_GB2312" w:cs="楷体_GB2312"/>
          <w:color w:val="auto"/>
          <w:kern w:val="2"/>
          <w:sz w:val="32"/>
          <w:szCs w:val="24"/>
          <w:highlight w:val="none"/>
          <w:shd w:val="clear" w:fill="auto"/>
          <w:lang w:val="en-US" w:eastAsia="zh-CN" w:bidi="ar-SA"/>
        </w:rPr>
        <w:t>（八）</w:t>
      </w:r>
      <w:r>
        <w:rPr>
          <w:rFonts w:hint="eastAsia" w:ascii="楷体_GB2312" w:hAnsi="楷体_GB2312" w:eastAsia="楷体_GB2312" w:cs="楷体_GB2312"/>
          <w:color w:val="auto"/>
          <w:sz w:val="32"/>
          <w:highlight w:val="none"/>
          <w:shd w:val="clear" w:color="auto" w:fill="auto"/>
          <w:lang w:val="en-US" w:eastAsia="zh-CN"/>
        </w:rPr>
        <w:t>济青都市圈人才协同联动开发及使用机制研究</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line="580" w:lineRule="exact"/>
        <w:ind w:left="0" w:leftChars="0" w:right="0" w:rightChars="0" w:firstLine="632" w:firstLineChars="200"/>
        <w:textAlignment w:val="auto"/>
        <w:rPr>
          <w:rFonts w:hint="eastAsia" w:ascii="仿宋_GB2312" w:hAnsi="仿宋_GB2312" w:eastAsia="仿宋_GB2312" w:cs="仿宋_GB2312"/>
          <w:color w:val="auto"/>
          <w:sz w:val="32"/>
          <w:highlight w:val="none"/>
          <w:lang w:val="en-US" w:eastAsia="zh-CN"/>
        </w:rPr>
      </w:pPr>
      <w:r>
        <w:rPr>
          <w:rFonts w:hint="eastAsia" w:ascii="仿宋_GB2312" w:hAnsi="仿宋_GB2312" w:eastAsia="仿宋_GB2312" w:cs="仿宋_GB2312"/>
          <w:color w:val="auto"/>
          <w:sz w:val="32"/>
          <w:highlight w:val="none"/>
          <w:lang w:val="en-US" w:eastAsia="zh-CN"/>
        </w:rPr>
        <w:t>通过深入分析济南、青岛都市圈区位发展优势和人才分布特点，聚焦人才引进、培养、使用全生命周期，剖析济青都市圈人才协同联动开发及使用壁垒，在借鉴省外先进经验基础上，提出济青都市圈人才协同联动开发及使用的实现路径和对策建议，构建</w:t>
      </w:r>
      <w:r>
        <w:rPr>
          <w:rFonts w:hint="default" w:ascii="仿宋_GB2312" w:hAnsi="仿宋_GB2312" w:eastAsia="仿宋_GB2312" w:cs="仿宋_GB2312"/>
          <w:color w:val="auto"/>
          <w:sz w:val="32"/>
          <w:highlight w:val="none"/>
          <w:lang w:val="en-US" w:eastAsia="zh-CN"/>
        </w:rPr>
        <w:t>合作共赢、优势互补、资源共享的“人才发展共同体”</w:t>
      </w:r>
      <w:r>
        <w:rPr>
          <w:rFonts w:hint="eastAsia" w:ascii="仿宋_GB2312" w:hAnsi="仿宋_GB2312" w:eastAsia="仿宋_GB2312" w:cs="仿宋_GB2312"/>
          <w:color w:val="auto"/>
          <w:sz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beforeAutospacing="0" w:line="580" w:lineRule="exact"/>
        <w:ind w:left="0" w:leftChars="0" w:right="0" w:rightChars="0" w:firstLine="632" w:firstLineChars="200"/>
        <w:textAlignment w:val="auto"/>
        <w:rPr>
          <w:rFonts w:hint="eastAsia" w:ascii="楷体_GB2312" w:hAnsi="楷体_GB2312" w:eastAsia="楷体_GB2312" w:cs="楷体_GB2312"/>
          <w:color w:val="auto"/>
          <w:sz w:val="32"/>
          <w:szCs w:val="32"/>
          <w:highlight w:val="none"/>
        </w:rPr>
      </w:pPr>
      <w:r>
        <w:rPr>
          <w:rFonts w:hint="eastAsia" w:ascii="楷体_GB2312" w:hAnsi="楷体_GB2312" w:eastAsia="楷体_GB2312" w:cs="楷体_GB2312"/>
          <w:color w:val="auto"/>
          <w:sz w:val="32"/>
          <w:szCs w:val="32"/>
          <w:highlight w:val="none"/>
          <w:lang w:val="en-US" w:eastAsia="zh-CN"/>
        </w:rPr>
        <w:t>（九）</w:t>
      </w:r>
      <w:r>
        <w:rPr>
          <w:rFonts w:hint="eastAsia" w:ascii="楷体_GB2312" w:hAnsi="楷体_GB2312" w:eastAsia="楷体_GB2312" w:cs="楷体_GB2312"/>
          <w:color w:val="auto"/>
          <w:sz w:val="32"/>
          <w:szCs w:val="32"/>
          <w:highlight w:val="none"/>
        </w:rPr>
        <w:t>人才支撑乡村全面振兴的路径研究</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line="580" w:lineRule="exact"/>
        <w:ind w:left="0" w:leftChars="0" w:right="0" w:rightChars="0" w:firstLine="632" w:firstLineChars="200"/>
        <w:textAlignment w:val="auto"/>
        <w:rPr>
          <w:rFonts w:hint="eastAsia" w:ascii="仿宋_GB2312" w:hAnsi="仿宋_GB2312" w:eastAsia="仿宋_GB2312" w:cs="仿宋_GB2312"/>
          <w:color w:val="auto"/>
          <w:sz w:val="32"/>
          <w:highlight w:val="none"/>
          <w:lang w:val="en-US" w:eastAsia="zh-CN"/>
        </w:rPr>
      </w:pPr>
      <w:r>
        <w:rPr>
          <w:rFonts w:hint="eastAsia" w:ascii="仿宋_GB2312" w:hAnsi="仿宋_GB2312" w:eastAsia="仿宋_GB2312" w:cs="仿宋_GB2312"/>
          <w:color w:val="auto"/>
          <w:sz w:val="32"/>
          <w:highlight w:val="none"/>
          <w:lang w:val="en-US" w:eastAsia="zh-CN"/>
        </w:rPr>
        <w:t>深入分析人才要素对乡村产业、文化、生态振兴的核心驱动作用，围绕人才（本土能人、专业人才、青年人才等各类人才）培养路径机制、柔性引才与本地人才培育、数字化人才共享平台构建、乡土人才评价体系改革等方面开展研究，剖析城乡人才流动、乡村人才结构和乡村人才引育留用等方面的现状和存在问题，从完善人才激励政策、优化公共服务供给、健全职业发展通道等方面提出政策优化建议。</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line="580" w:lineRule="exact"/>
        <w:ind w:left="0" w:leftChars="0" w:right="0" w:rightChars="0" w:firstLine="632" w:firstLineChars="200"/>
        <w:textAlignment w:val="auto"/>
        <w:rPr>
          <w:rFonts w:hint="eastAsia" w:ascii="楷体_GB2312" w:hAnsi="楷体_GB2312" w:eastAsia="楷体_GB2312" w:cs="楷体_GB2312"/>
          <w:color w:val="auto"/>
          <w:kern w:val="2"/>
          <w:sz w:val="32"/>
          <w:szCs w:val="24"/>
          <w:highlight w:val="none"/>
          <w:shd w:val="clear" w:fill="auto"/>
          <w:lang w:val="en-US" w:eastAsia="zh-CN" w:bidi="ar-SA"/>
        </w:rPr>
      </w:pPr>
      <w:r>
        <w:rPr>
          <w:rFonts w:hint="eastAsia" w:ascii="楷体_GB2312" w:hAnsi="楷体_GB2312" w:eastAsia="楷体_GB2312" w:cs="楷体_GB2312"/>
          <w:color w:val="auto"/>
          <w:kern w:val="2"/>
          <w:sz w:val="32"/>
          <w:szCs w:val="24"/>
          <w:highlight w:val="none"/>
          <w:shd w:val="clear" w:fill="auto"/>
          <w:lang w:val="en-US" w:eastAsia="zh-CN" w:bidi="ar-SA"/>
        </w:rPr>
        <w:t>（十）新时期技工院校“校中厂”“厂中校”模式的发展路径研究</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line="580" w:lineRule="exact"/>
        <w:ind w:left="0" w:leftChars="0" w:right="0" w:rightChars="0" w:firstLine="632" w:firstLineChars="200"/>
        <w:textAlignment w:val="auto"/>
        <w:rPr>
          <w:rFonts w:hint="default" w:ascii="仿宋_GB2312" w:hAnsi="仿宋_GB2312" w:eastAsia="仿宋_GB2312" w:cs="仿宋_GB2312"/>
          <w:color w:val="auto"/>
          <w:sz w:val="32"/>
          <w:highlight w:val="none"/>
          <w:lang w:val="en-US" w:eastAsia="zh-CN"/>
        </w:rPr>
      </w:pPr>
      <w:r>
        <w:rPr>
          <w:rFonts w:hint="eastAsia" w:ascii="仿宋_GB2312" w:hAnsi="仿宋_GB2312" w:eastAsia="仿宋_GB2312" w:cs="仿宋_GB2312"/>
          <w:color w:val="auto"/>
          <w:sz w:val="32"/>
          <w:highlight w:val="none"/>
          <w:lang w:val="en-US" w:eastAsia="zh-CN"/>
        </w:rPr>
        <w:t>分析新时期技工院校“校中厂”“厂中校”模式的价值意蕴和现实基础，剖析山东在技工院校“校中厂”“厂中校”模式发展中面临的现实困境，在借鉴省内外先进经验基础上，创新性提出具有山东特色的技工院校“校中厂”“厂中校”模式发展路径。</w:t>
      </w:r>
    </w:p>
    <w:p>
      <w:pPr>
        <w:keepNext w:val="0"/>
        <w:keepLines w:val="0"/>
        <w:pageBreakBefore w:val="0"/>
        <w:widowControl w:val="0"/>
        <w:kinsoku/>
        <w:wordWrap/>
        <w:overflowPunct/>
        <w:topLinePunct w:val="0"/>
        <w:autoSpaceDE/>
        <w:autoSpaceDN/>
        <w:bidi w:val="0"/>
        <w:adjustRightInd/>
        <w:snapToGrid/>
        <w:spacing w:beforeAutospacing="0" w:line="580" w:lineRule="exact"/>
        <w:ind w:left="0" w:leftChars="0" w:right="0" w:rightChars="0" w:firstLine="632" w:firstLineChars="200"/>
        <w:textAlignment w:val="auto"/>
        <w:rPr>
          <w:rFonts w:hint="eastAsia" w:ascii="楷体_GB2312" w:hAnsi="楷体_GB2312" w:eastAsia="楷体_GB2312" w:cs="楷体_GB2312"/>
          <w:color w:val="auto"/>
          <w:sz w:val="32"/>
          <w:szCs w:val="32"/>
          <w:highlight w:val="none"/>
          <w:lang w:eastAsia="zh-CN"/>
        </w:rPr>
      </w:pPr>
      <w:r>
        <w:rPr>
          <w:rFonts w:hint="eastAsia" w:ascii="楷体_GB2312" w:hAnsi="楷体_GB2312" w:eastAsia="楷体_GB2312" w:cs="楷体_GB2312"/>
          <w:color w:val="auto"/>
          <w:sz w:val="32"/>
          <w:szCs w:val="32"/>
          <w:highlight w:val="none"/>
          <w:lang w:val="en-US" w:eastAsia="zh-CN"/>
        </w:rPr>
        <w:t>（十一）</w:t>
      </w:r>
      <w:r>
        <w:rPr>
          <w:rFonts w:hint="eastAsia" w:ascii="楷体_GB2312" w:hAnsi="楷体_GB2312" w:eastAsia="楷体_GB2312" w:cs="楷体_GB2312"/>
          <w:color w:val="auto"/>
          <w:sz w:val="32"/>
          <w:szCs w:val="32"/>
          <w:highlight w:val="none"/>
          <w:lang w:eastAsia="zh-CN"/>
        </w:rPr>
        <w:t>县域数字人才发展现状及培育路径研究</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line="580" w:lineRule="exact"/>
        <w:ind w:left="0" w:leftChars="0" w:right="0" w:rightChars="0" w:firstLine="632" w:firstLineChars="200"/>
        <w:textAlignment w:val="auto"/>
        <w:rPr>
          <w:rFonts w:hint="eastAsia" w:ascii="仿宋_GB2312" w:hAnsi="仿宋_GB2312" w:eastAsia="仿宋_GB2312" w:cs="仿宋_GB2312"/>
          <w:color w:val="auto"/>
          <w:sz w:val="32"/>
          <w:highlight w:val="none"/>
          <w:lang w:val="en-US" w:eastAsia="zh-CN"/>
        </w:rPr>
      </w:pPr>
      <w:r>
        <w:rPr>
          <w:rFonts w:hint="eastAsia" w:ascii="仿宋_GB2312" w:hAnsi="仿宋_GB2312" w:eastAsia="仿宋_GB2312" w:cs="仿宋_GB2312"/>
          <w:color w:val="auto"/>
          <w:sz w:val="32"/>
          <w:highlight w:val="none"/>
          <w:lang w:val="en-US" w:eastAsia="zh-CN"/>
        </w:rPr>
        <w:t>深入研究分析山东县域数字经济、数字产业、数字人才的发展现况，剖析县域数字人才发展面临的困难及存在的问题，结合实际情况，提出山东县域数字人才培育的对策建议，为进一步落实好“人才引领县域高质量发展试点县数字人才赋能行动”提供理论支撑。</w:t>
      </w:r>
    </w:p>
    <w:p>
      <w:pPr>
        <w:keepNext w:val="0"/>
        <w:keepLines w:val="0"/>
        <w:pageBreakBefore w:val="0"/>
        <w:widowControl w:val="0"/>
        <w:numPr>
          <w:ilvl w:val="-1"/>
          <w:numId w:val="0"/>
        </w:numPr>
        <w:kinsoku/>
        <w:wordWrap/>
        <w:overflowPunct/>
        <w:topLinePunct w:val="0"/>
        <w:autoSpaceDE/>
        <w:autoSpaceDN/>
        <w:bidi w:val="0"/>
        <w:adjustRightInd/>
        <w:snapToGrid/>
        <w:spacing w:beforeAutospacing="0" w:line="580" w:lineRule="exact"/>
        <w:ind w:left="0" w:leftChars="0" w:right="0" w:rightChars="0" w:firstLine="632" w:firstLineChars="200"/>
        <w:textAlignment w:val="auto"/>
        <w:rPr>
          <w:rFonts w:hint="eastAsia" w:ascii="楷体_GB2312" w:hAnsi="楷体_GB2312" w:eastAsia="楷体_GB2312" w:cs="楷体_GB2312"/>
          <w:color w:val="auto"/>
          <w:sz w:val="32"/>
          <w:szCs w:val="32"/>
          <w:highlight w:val="none"/>
          <w:lang w:val="en-US" w:eastAsia="zh-CN"/>
        </w:rPr>
      </w:pPr>
      <w:r>
        <w:rPr>
          <w:rFonts w:hint="eastAsia" w:ascii="楷体_GB2312" w:hAnsi="楷体_GB2312" w:eastAsia="楷体_GB2312" w:cs="楷体_GB2312"/>
          <w:color w:val="auto"/>
          <w:sz w:val="32"/>
          <w:szCs w:val="32"/>
          <w:highlight w:val="none"/>
          <w:lang w:val="en-US" w:eastAsia="zh-CN"/>
        </w:rPr>
        <w:t>（十二）数字经济背景下和谐劳动关系构建研究</w:t>
      </w:r>
    </w:p>
    <w:p>
      <w:pPr>
        <w:keepNext w:val="0"/>
        <w:keepLines w:val="0"/>
        <w:pageBreakBefore w:val="0"/>
        <w:widowControl w:val="0"/>
        <w:numPr>
          <w:ilvl w:val="-1"/>
          <w:numId w:val="0"/>
        </w:numPr>
        <w:kinsoku/>
        <w:wordWrap/>
        <w:overflowPunct/>
        <w:topLinePunct w:val="0"/>
        <w:autoSpaceDE/>
        <w:autoSpaceDN/>
        <w:bidi w:val="0"/>
        <w:adjustRightInd/>
        <w:snapToGrid/>
        <w:spacing w:beforeAutospacing="0" w:line="580" w:lineRule="exact"/>
        <w:ind w:left="0" w:leftChars="0" w:right="0" w:rightChars="0" w:firstLine="632" w:firstLineChars="200"/>
        <w:textAlignment w:val="auto"/>
        <w:rPr>
          <w:rFonts w:hint="eastAsia" w:ascii="楷体_GB2312" w:hAnsi="楷体_GB2312" w:eastAsia="楷体_GB2312" w:cs="楷体_GB2312"/>
          <w:color w:val="auto"/>
          <w:sz w:val="32"/>
          <w:szCs w:val="32"/>
          <w:highlight w:val="none"/>
          <w:lang w:val="en-US" w:eastAsia="zh-CN"/>
        </w:rPr>
      </w:pPr>
      <w:r>
        <w:rPr>
          <w:rFonts w:hint="eastAsia" w:ascii="仿宋_GB2312" w:hAnsi="仿宋_GB2312" w:eastAsia="仿宋_GB2312" w:cs="仿宋_GB2312"/>
          <w:color w:val="auto"/>
          <w:highlight w:val="none"/>
          <w:lang w:val="en-US" w:eastAsia="zh-CN"/>
        </w:rPr>
        <w:t>分析数字经济对劳动形态、用工方式、企业管理模式、劳动者权益保障等方面带来的影响和挑战，在借鉴外省先进经验做法的基础上，探索提出适应数字经济特点的劳动者权益保障机制以及适应数字经济特点的劳动用工管理模式和集体协商模式，建立多元化解纠纷机制，促进劳资双方互利共赢。</w:t>
      </w:r>
    </w:p>
    <w:p>
      <w:pPr>
        <w:keepNext w:val="0"/>
        <w:keepLines w:val="0"/>
        <w:pageBreakBefore w:val="0"/>
        <w:widowControl w:val="0"/>
        <w:numPr>
          <w:ilvl w:val="0"/>
          <w:numId w:val="0"/>
        </w:numPr>
        <w:kinsoku/>
        <w:wordWrap/>
        <w:overflowPunct w:val="0"/>
        <w:topLinePunct w:val="0"/>
        <w:autoSpaceDE/>
        <w:autoSpaceDN/>
        <w:bidi w:val="0"/>
        <w:adjustRightInd/>
        <w:snapToGrid/>
        <w:spacing w:beforeAutospacing="0" w:line="580" w:lineRule="exact"/>
        <w:ind w:left="0" w:leftChars="0" w:right="0" w:rightChars="0" w:firstLine="632" w:firstLineChars="200"/>
        <w:jc w:val="both"/>
        <w:textAlignment w:val="auto"/>
        <w:outlineLvl w:val="9"/>
        <w:rPr>
          <w:rFonts w:hint="eastAsia" w:ascii="Times New Roman" w:hAnsi="Times New Roman" w:eastAsia="黑体" w:cs="黑体"/>
          <w:color w:val="auto"/>
          <w:sz w:val="32"/>
          <w:szCs w:val="32"/>
          <w:highlight w:val="none"/>
          <w:lang w:val="en-US" w:eastAsia="zh-CN"/>
        </w:rPr>
      </w:pPr>
      <w:r>
        <w:rPr>
          <w:rFonts w:hint="eastAsia" w:ascii="Times New Roman" w:hAnsi="Times New Roman" w:eastAsia="黑体" w:cs="黑体"/>
          <w:color w:val="auto"/>
          <w:sz w:val="32"/>
          <w:szCs w:val="32"/>
          <w:highlight w:val="none"/>
          <w:lang w:val="en-US" w:eastAsia="zh-CN"/>
        </w:rPr>
        <w:t>三、一般课题</w:t>
      </w:r>
    </w:p>
    <w:p>
      <w:pPr>
        <w:keepNext w:val="0"/>
        <w:keepLines w:val="0"/>
        <w:pageBreakBefore w:val="0"/>
        <w:widowControl w:val="0"/>
        <w:kinsoku/>
        <w:wordWrap/>
        <w:overflowPunct/>
        <w:topLinePunct w:val="0"/>
        <w:autoSpaceDE/>
        <w:autoSpaceDN/>
        <w:bidi w:val="0"/>
        <w:adjustRightInd/>
        <w:snapToGrid/>
        <w:spacing w:beforeAutospacing="0" w:line="580" w:lineRule="exact"/>
        <w:ind w:left="0" w:leftChars="0" w:right="0" w:rightChars="0" w:firstLine="632" w:firstLineChars="200"/>
        <w:textAlignment w:val="auto"/>
        <w:rPr>
          <w:rFonts w:hint="eastAsia" w:ascii="楷体_GB2312" w:hAnsi="楷体_GB2312" w:eastAsia="楷体_GB2312" w:cs="楷体_GB2312"/>
          <w:color w:val="auto"/>
          <w:sz w:val="32"/>
          <w:highlight w:val="none"/>
          <w:lang w:val="en-US" w:eastAsia="zh-CN"/>
        </w:rPr>
      </w:pPr>
      <w:r>
        <w:rPr>
          <w:rFonts w:hint="eastAsia" w:ascii="楷体_GB2312" w:hAnsi="楷体_GB2312" w:eastAsia="楷体_GB2312" w:cs="楷体_GB2312"/>
          <w:color w:val="auto"/>
          <w:sz w:val="32"/>
          <w:highlight w:val="none"/>
          <w:lang w:val="en-US" w:eastAsia="zh-CN"/>
        </w:rPr>
        <w:t>（一）就业创业</w:t>
      </w:r>
    </w:p>
    <w:p>
      <w:pPr>
        <w:keepNext w:val="0"/>
        <w:keepLines w:val="0"/>
        <w:pageBreakBefore w:val="0"/>
        <w:widowControl w:val="0"/>
        <w:kinsoku/>
        <w:wordWrap/>
        <w:overflowPunct/>
        <w:topLinePunct w:val="0"/>
        <w:autoSpaceDE/>
        <w:autoSpaceDN/>
        <w:bidi w:val="0"/>
        <w:adjustRightInd/>
        <w:snapToGrid/>
        <w:spacing w:beforeAutospacing="0" w:line="580" w:lineRule="exact"/>
        <w:ind w:left="0" w:leftChars="0" w:right="0" w:rightChars="0" w:firstLine="632"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highlight w:val="none"/>
          <w:lang w:val="en-US" w:eastAsia="zh-CN"/>
        </w:rPr>
        <w:t>1.</w:t>
      </w:r>
      <w:r>
        <w:rPr>
          <w:rFonts w:hint="eastAsia" w:ascii="仿宋_GB2312" w:hAnsi="仿宋_GB2312" w:eastAsia="仿宋_GB2312" w:cs="仿宋_GB2312"/>
          <w:color w:val="auto"/>
          <w:sz w:val="32"/>
          <w:szCs w:val="32"/>
          <w:highlight w:val="none"/>
          <w:lang w:val="en-US" w:eastAsia="zh-CN"/>
        </w:rPr>
        <w:t>人工智能发展对就业的影响及对策研究</w:t>
      </w:r>
    </w:p>
    <w:p>
      <w:pPr>
        <w:keepNext w:val="0"/>
        <w:keepLines w:val="0"/>
        <w:pageBreakBefore w:val="0"/>
        <w:widowControl w:val="0"/>
        <w:kinsoku/>
        <w:wordWrap/>
        <w:overflowPunct/>
        <w:topLinePunct w:val="0"/>
        <w:autoSpaceDE/>
        <w:autoSpaceDN/>
        <w:bidi w:val="0"/>
        <w:adjustRightInd/>
        <w:snapToGrid/>
        <w:spacing w:beforeAutospacing="0" w:line="580" w:lineRule="exact"/>
        <w:ind w:left="0" w:leftChars="0" w:right="-316" w:rightChars="-100" w:firstLine="632"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2.人工智能在高校毕业生等青年群体求职择业中的应用研究</w:t>
      </w:r>
    </w:p>
    <w:p>
      <w:pPr>
        <w:keepNext w:val="0"/>
        <w:keepLines w:val="0"/>
        <w:pageBreakBefore w:val="0"/>
        <w:widowControl w:val="0"/>
        <w:kinsoku/>
        <w:wordWrap/>
        <w:overflowPunct/>
        <w:topLinePunct w:val="0"/>
        <w:autoSpaceDE/>
        <w:autoSpaceDN/>
        <w:bidi w:val="0"/>
        <w:adjustRightInd/>
        <w:snapToGrid/>
        <w:spacing w:beforeAutospacing="0" w:line="580" w:lineRule="exact"/>
        <w:ind w:left="0" w:leftChars="0" w:right="0" w:rightChars="0" w:firstLine="632"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lang w:val="en-US" w:eastAsia="zh-CN"/>
        </w:rPr>
        <w:t>.高校毕业生离校后就业动态跟踪和服务路径研究</w:t>
      </w:r>
    </w:p>
    <w:p>
      <w:pPr>
        <w:keepNext w:val="0"/>
        <w:keepLines w:val="0"/>
        <w:pageBreakBefore w:val="0"/>
        <w:widowControl w:val="0"/>
        <w:kinsoku/>
        <w:wordWrap/>
        <w:overflowPunct/>
        <w:topLinePunct w:val="0"/>
        <w:autoSpaceDE/>
        <w:autoSpaceDN/>
        <w:bidi w:val="0"/>
        <w:adjustRightInd/>
        <w:snapToGrid/>
        <w:spacing w:beforeAutospacing="0" w:line="580" w:lineRule="exact"/>
        <w:ind w:left="0" w:leftChars="0" w:right="0" w:rightChars="0" w:firstLine="632"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lang w:val="en-US" w:eastAsia="zh-CN"/>
        </w:rPr>
        <w:t>.建筑市场一线农民工用工现状及趋势分析</w:t>
      </w:r>
    </w:p>
    <w:p>
      <w:pPr>
        <w:keepNext w:val="0"/>
        <w:keepLines w:val="0"/>
        <w:pageBreakBefore w:val="0"/>
        <w:widowControl w:val="0"/>
        <w:kinsoku/>
        <w:wordWrap/>
        <w:overflowPunct/>
        <w:topLinePunct w:val="0"/>
        <w:autoSpaceDE/>
        <w:autoSpaceDN/>
        <w:bidi w:val="0"/>
        <w:adjustRightInd/>
        <w:snapToGrid/>
        <w:spacing w:beforeAutospacing="0" w:line="580" w:lineRule="exact"/>
        <w:ind w:left="0" w:leftChars="0" w:right="0" w:rightChars="0" w:firstLine="632"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lang w:val="en-US" w:eastAsia="zh-CN"/>
        </w:rPr>
        <w:t>.“专精特新”人力资源服务业培育建设研究</w:t>
      </w:r>
    </w:p>
    <w:p>
      <w:pPr>
        <w:keepNext w:val="0"/>
        <w:keepLines w:val="0"/>
        <w:pageBreakBefore w:val="0"/>
        <w:widowControl w:val="0"/>
        <w:kinsoku/>
        <w:wordWrap/>
        <w:overflowPunct/>
        <w:topLinePunct w:val="0"/>
        <w:autoSpaceDE/>
        <w:autoSpaceDN/>
        <w:bidi w:val="0"/>
        <w:adjustRightInd/>
        <w:snapToGrid/>
        <w:spacing w:beforeAutospacing="0" w:line="580" w:lineRule="exact"/>
        <w:ind w:left="0" w:leftChars="0" w:right="0" w:rightChars="0" w:firstLine="632" w:firstLineChars="200"/>
        <w:textAlignment w:val="auto"/>
        <w:rPr>
          <w:rFonts w:hint="eastAsia" w:ascii="仿宋_GB2312" w:hAnsi="仿宋_GB2312" w:eastAsia="仿宋_GB2312" w:cs="仿宋_GB2312"/>
          <w:color w:val="auto"/>
          <w:kern w:val="2"/>
          <w:sz w:val="32"/>
          <w:szCs w:val="22"/>
          <w:highlight w:val="none"/>
          <w:lang w:val="en-US" w:eastAsia="zh-CN" w:bidi="ar-SA"/>
        </w:rPr>
      </w:pPr>
      <w:r>
        <w:rPr>
          <w:rFonts w:hint="eastAsia" w:ascii="仿宋_GB2312" w:hAnsi="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kern w:val="2"/>
          <w:sz w:val="32"/>
          <w:szCs w:val="22"/>
          <w:highlight w:val="none"/>
          <w:lang w:val="en-US" w:eastAsia="zh-CN" w:bidi="ar-SA"/>
        </w:rPr>
        <w:t>中国海洋人才市场（山东）高质量发展路径研究</w:t>
      </w:r>
    </w:p>
    <w:p>
      <w:pPr>
        <w:keepNext w:val="0"/>
        <w:keepLines w:val="0"/>
        <w:pageBreakBefore w:val="0"/>
        <w:widowControl w:val="0"/>
        <w:kinsoku/>
        <w:wordWrap/>
        <w:overflowPunct/>
        <w:topLinePunct w:val="0"/>
        <w:autoSpaceDE/>
        <w:autoSpaceDN/>
        <w:bidi w:val="0"/>
        <w:adjustRightInd/>
        <w:snapToGrid/>
        <w:spacing w:beforeAutospacing="0" w:line="580" w:lineRule="exact"/>
        <w:ind w:left="0" w:leftChars="0" w:right="0" w:rightChars="0" w:firstLine="632" w:firstLineChars="200"/>
        <w:textAlignment w:val="auto"/>
        <w:rPr>
          <w:rFonts w:hint="eastAsia" w:ascii="仿宋_GB2312" w:hAnsi="仿宋_GB2312" w:eastAsia="仿宋_GB2312" w:cs="仿宋_GB2312"/>
          <w:color w:val="auto"/>
          <w:sz w:val="32"/>
          <w:highlight w:val="none"/>
          <w:lang w:val="en-US" w:eastAsia="zh-CN"/>
        </w:rPr>
      </w:pPr>
      <w:r>
        <w:rPr>
          <w:rFonts w:hint="eastAsia" w:ascii="仿宋_GB2312" w:hAnsi="仿宋_GB2312" w:cs="仿宋_GB2312"/>
          <w:color w:val="auto"/>
          <w:kern w:val="2"/>
          <w:sz w:val="32"/>
          <w:szCs w:val="22"/>
          <w:highlight w:val="none"/>
          <w:lang w:val="en-US" w:eastAsia="zh-CN" w:bidi="ar-SA"/>
        </w:rPr>
        <w:t>7</w:t>
      </w:r>
      <w:r>
        <w:rPr>
          <w:rFonts w:hint="eastAsia" w:ascii="仿宋_GB2312" w:hAnsi="仿宋_GB2312" w:eastAsia="仿宋_GB2312" w:cs="仿宋_GB2312"/>
          <w:color w:val="auto"/>
          <w:kern w:val="2"/>
          <w:sz w:val="32"/>
          <w:szCs w:val="22"/>
          <w:highlight w:val="none"/>
          <w:lang w:val="en-US" w:eastAsia="zh-CN" w:bidi="ar-SA"/>
        </w:rPr>
        <w:t>.</w:t>
      </w:r>
      <w:r>
        <w:rPr>
          <w:rFonts w:hint="eastAsia" w:ascii="仿宋_GB2312" w:hAnsi="仿宋_GB2312" w:eastAsia="仿宋_GB2312" w:cs="仿宋_GB2312"/>
          <w:color w:val="auto"/>
          <w:sz w:val="32"/>
          <w:highlight w:val="none"/>
          <w:lang w:val="en-US" w:eastAsia="zh-CN"/>
        </w:rPr>
        <w:t>公共就业人才服务系统高质量文化建设研究</w:t>
      </w:r>
    </w:p>
    <w:p>
      <w:pPr>
        <w:keepNext w:val="0"/>
        <w:keepLines w:val="0"/>
        <w:pageBreakBefore w:val="0"/>
        <w:widowControl w:val="0"/>
        <w:kinsoku/>
        <w:wordWrap/>
        <w:overflowPunct/>
        <w:topLinePunct w:val="0"/>
        <w:autoSpaceDE/>
        <w:autoSpaceDN/>
        <w:bidi w:val="0"/>
        <w:adjustRightInd/>
        <w:snapToGrid/>
        <w:spacing w:beforeAutospacing="0" w:line="580" w:lineRule="exact"/>
        <w:ind w:left="0" w:leftChars="0" w:right="0" w:rightChars="0" w:firstLine="632" w:firstLineChars="200"/>
        <w:textAlignment w:val="auto"/>
        <w:rPr>
          <w:rFonts w:hint="eastAsia" w:ascii="仿宋_GB2312" w:hAnsi="仿宋_GB2312" w:eastAsia="仿宋_GB2312" w:cs="仿宋_GB2312"/>
          <w:color w:val="auto"/>
          <w:sz w:val="32"/>
          <w:highlight w:val="none"/>
          <w:lang w:val="en-US" w:eastAsia="zh-CN"/>
        </w:rPr>
      </w:pPr>
      <w:r>
        <w:rPr>
          <w:rFonts w:hint="eastAsia" w:ascii="仿宋_GB2312" w:hAnsi="仿宋_GB2312" w:cs="仿宋_GB2312"/>
          <w:color w:val="auto"/>
          <w:sz w:val="32"/>
          <w:highlight w:val="none"/>
          <w:lang w:val="en-US" w:eastAsia="zh-CN"/>
        </w:rPr>
        <w:t>8</w:t>
      </w:r>
      <w:r>
        <w:rPr>
          <w:rFonts w:hint="eastAsia" w:ascii="仿宋_GB2312" w:hAnsi="仿宋_GB2312" w:eastAsia="仿宋_GB2312" w:cs="仿宋_GB2312"/>
          <w:color w:val="auto"/>
          <w:sz w:val="32"/>
          <w:highlight w:val="none"/>
          <w:lang w:val="en-US" w:eastAsia="zh-CN"/>
        </w:rPr>
        <w:t>.社区微业助推就业创业实证研究</w:t>
      </w:r>
    </w:p>
    <w:p>
      <w:pPr>
        <w:keepNext w:val="0"/>
        <w:keepLines w:val="0"/>
        <w:pageBreakBefore w:val="0"/>
        <w:widowControl w:val="0"/>
        <w:kinsoku/>
        <w:wordWrap/>
        <w:overflowPunct/>
        <w:topLinePunct w:val="0"/>
        <w:autoSpaceDE/>
        <w:autoSpaceDN/>
        <w:bidi w:val="0"/>
        <w:adjustRightInd/>
        <w:snapToGrid/>
        <w:spacing w:beforeAutospacing="0" w:line="580" w:lineRule="exact"/>
        <w:ind w:left="0" w:leftChars="0" w:right="0" w:rightChars="0" w:firstLine="632" w:firstLineChars="200"/>
        <w:textAlignment w:val="auto"/>
        <w:rPr>
          <w:rFonts w:hint="eastAsia" w:ascii="仿宋_GB2312" w:hAnsi="仿宋_GB2312" w:eastAsia="仿宋_GB2312" w:cs="仿宋_GB2312"/>
          <w:color w:val="auto"/>
          <w:sz w:val="32"/>
          <w:highlight w:val="none"/>
          <w:lang w:val="en-US" w:eastAsia="zh-CN"/>
        </w:rPr>
      </w:pPr>
      <w:r>
        <w:rPr>
          <w:rFonts w:hint="eastAsia" w:ascii="仿宋_GB2312" w:hAnsi="仿宋_GB2312" w:cs="仿宋_GB2312"/>
          <w:b w:val="0"/>
          <w:bCs w:val="0"/>
          <w:color w:val="auto"/>
          <w:sz w:val="32"/>
          <w:szCs w:val="32"/>
          <w:highlight w:val="none"/>
          <w:lang w:val="en-US" w:eastAsia="zh-CN"/>
        </w:rPr>
        <w:t>9</w:t>
      </w:r>
      <w:r>
        <w:rPr>
          <w:rFonts w:hint="eastAsia" w:ascii="仿宋_GB2312" w:hAnsi="仿宋_GB2312" w:cs="仿宋_GB2312"/>
          <w:color w:val="auto"/>
          <w:sz w:val="32"/>
          <w:highlight w:val="none"/>
          <w:lang w:val="en-US" w:eastAsia="zh-CN"/>
        </w:rPr>
        <w:t>.</w:t>
      </w:r>
      <w:r>
        <w:rPr>
          <w:rFonts w:hint="eastAsia" w:ascii="仿宋_GB2312" w:hAnsi="仿宋_GB2312" w:eastAsia="仿宋_GB2312" w:cs="仿宋_GB2312"/>
          <w:color w:val="auto"/>
          <w:sz w:val="32"/>
          <w:highlight w:val="none"/>
          <w:lang w:val="en-US" w:eastAsia="zh-CN"/>
        </w:rPr>
        <w:t>大学生就业创业赋能中心服务效能提升研究</w:t>
      </w:r>
    </w:p>
    <w:p>
      <w:pPr>
        <w:keepNext w:val="0"/>
        <w:keepLines w:val="0"/>
        <w:pageBreakBefore w:val="0"/>
        <w:widowControl w:val="0"/>
        <w:kinsoku/>
        <w:wordWrap/>
        <w:overflowPunct/>
        <w:topLinePunct w:val="0"/>
        <w:autoSpaceDE/>
        <w:autoSpaceDN/>
        <w:bidi w:val="0"/>
        <w:adjustRightInd/>
        <w:snapToGrid/>
        <w:spacing w:beforeAutospacing="0" w:line="580" w:lineRule="exact"/>
        <w:ind w:left="0" w:leftChars="0" w:right="0" w:rightChars="0" w:firstLine="632" w:firstLineChars="200"/>
        <w:textAlignment w:val="auto"/>
        <w:rPr>
          <w:rFonts w:hint="eastAsia" w:ascii="Times New Roman" w:hAnsi="Times New Roman" w:cs="Times New Roman"/>
          <w:color w:val="auto"/>
          <w:sz w:val="32"/>
          <w:highlight w:val="none"/>
          <w:lang w:val="en-US" w:eastAsia="zh-CN"/>
        </w:rPr>
      </w:pPr>
      <w:r>
        <w:rPr>
          <w:rFonts w:hint="eastAsia" w:ascii="仿宋_GB2312" w:hAnsi="仿宋_GB2312" w:cs="仿宋_GB2312"/>
          <w:color w:val="auto"/>
          <w:sz w:val="32"/>
          <w:highlight w:val="none"/>
          <w:lang w:val="en-US" w:eastAsia="zh-CN"/>
        </w:rPr>
        <w:t>10</w:t>
      </w:r>
      <w:r>
        <w:rPr>
          <w:rFonts w:hint="eastAsia" w:ascii="仿宋_GB2312" w:hAnsi="仿宋_GB2312" w:eastAsia="仿宋_GB2312" w:cs="仿宋_GB2312"/>
          <w:color w:val="auto"/>
          <w:sz w:val="32"/>
          <w:highlight w:val="none"/>
          <w:lang w:val="en-US" w:eastAsia="zh-CN"/>
        </w:rPr>
        <w:t>.数字化背景下AI+创业服务</w:t>
      </w:r>
      <w:r>
        <w:rPr>
          <w:rFonts w:hint="eastAsia" w:ascii="Times New Roman" w:hAnsi="Times New Roman" w:eastAsia="仿宋_GB2312" w:cs="Times New Roman"/>
          <w:color w:val="auto"/>
          <w:sz w:val="32"/>
          <w:highlight w:val="none"/>
          <w:lang w:val="en-US" w:eastAsia="zh-CN"/>
        </w:rPr>
        <w:t>模式的探索和研究</w:t>
      </w:r>
    </w:p>
    <w:p>
      <w:pPr>
        <w:keepNext w:val="0"/>
        <w:keepLines w:val="0"/>
        <w:pageBreakBefore w:val="0"/>
        <w:widowControl w:val="0"/>
        <w:kinsoku/>
        <w:wordWrap/>
        <w:overflowPunct/>
        <w:topLinePunct w:val="0"/>
        <w:autoSpaceDE/>
        <w:autoSpaceDN/>
        <w:bidi w:val="0"/>
        <w:adjustRightInd/>
        <w:snapToGrid/>
        <w:spacing w:beforeAutospacing="0" w:line="580" w:lineRule="exact"/>
        <w:ind w:left="0" w:leftChars="0" w:right="0" w:rightChars="0" w:firstLine="632" w:firstLineChars="200"/>
        <w:textAlignment w:val="auto"/>
        <w:rPr>
          <w:rFonts w:hint="eastAsia" w:ascii="仿宋_GB2312" w:hAnsi="仿宋_GB2312" w:cs="仿宋_GB2312"/>
          <w:color w:val="auto"/>
          <w:sz w:val="32"/>
          <w:szCs w:val="32"/>
          <w:highlight w:val="none"/>
          <w:lang w:val="en-US" w:eastAsia="zh-CN"/>
        </w:rPr>
      </w:pPr>
      <w:r>
        <w:rPr>
          <w:rFonts w:hint="eastAsia" w:ascii="仿宋_GB2312" w:hAnsi="仿宋_GB2312" w:cs="仿宋_GB2312"/>
          <w:b w:val="0"/>
          <w:bCs w:val="0"/>
          <w:color w:val="auto"/>
          <w:sz w:val="32"/>
          <w:szCs w:val="32"/>
          <w:highlight w:val="none"/>
          <w:lang w:val="en-US" w:eastAsia="zh-CN"/>
        </w:rPr>
        <w:t>11</w:t>
      </w:r>
      <w:r>
        <w:rPr>
          <w:rFonts w:hint="eastAsia" w:ascii="仿宋_GB2312" w:hAnsi="仿宋_GB2312" w:eastAsia="仿宋_GB2312" w:cs="仿宋_GB2312"/>
          <w:b w:val="0"/>
          <w:bCs w:val="0"/>
          <w:color w:val="auto"/>
          <w:sz w:val="32"/>
          <w:szCs w:val="32"/>
          <w:highlight w:val="none"/>
          <w:lang w:val="en-US" w:eastAsia="zh-CN"/>
        </w:rPr>
        <w:t>.促进“双一流”高校毕业生集聚齐鲁路径研究</w:t>
      </w:r>
    </w:p>
    <w:p>
      <w:pPr>
        <w:keepNext w:val="0"/>
        <w:keepLines w:val="0"/>
        <w:pageBreakBefore w:val="0"/>
        <w:widowControl w:val="0"/>
        <w:kinsoku/>
        <w:wordWrap/>
        <w:overflowPunct/>
        <w:topLinePunct w:val="0"/>
        <w:autoSpaceDE/>
        <w:autoSpaceDN/>
        <w:bidi w:val="0"/>
        <w:adjustRightInd/>
        <w:snapToGrid/>
        <w:spacing w:beforeAutospacing="0" w:line="580" w:lineRule="exact"/>
        <w:ind w:left="0" w:leftChars="0" w:right="0" w:rightChars="0" w:firstLine="632" w:firstLineChars="200"/>
        <w:textAlignment w:val="auto"/>
        <w:rPr>
          <w:rFonts w:hint="eastAsia" w:ascii="仿宋_GB2312" w:hAnsi="仿宋_GB2312" w:eastAsia="仿宋_GB2312" w:cs="仿宋_GB2312"/>
          <w:color w:val="auto"/>
          <w:sz w:val="32"/>
          <w:highlight w:val="none"/>
          <w:lang w:val="en-US" w:eastAsia="zh-CN"/>
        </w:rPr>
      </w:pPr>
      <w:r>
        <w:rPr>
          <w:rFonts w:hint="eastAsia" w:ascii="仿宋_GB2312" w:hAnsi="仿宋_GB2312" w:eastAsia="仿宋_GB2312" w:cs="仿宋_GB2312"/>
          <w:color w:val="auto"/>
          <w:sz w:val="32"/>
          <w:highlight w:val="none"/>
          <w:lang w:val="en-US" w:eastAsia="zh-CN"/>
        </w:rPr>
        <w:t>1</w:t>
      </w:r>
      <w:r>
        <w:rPr>
          <w:rFonts w:hint="eastAsia" w:ascii="仿宋_GB2312" w:hAnsi="仿宋_GB2312" w:cs="仿宋_GB2312"/>
          <w:color w:val="auto"/>
          <w:sz w:val="32"/>
          <w:highlight w:val="none"/>
          <w:lang w:val="en-US" w:eastAsia="zh-CN"/>
        </w:rPr>
        <w:t>2.</w:t>
      </w:r>
      <w:r>
        <w:rPr>
          <w:rFonts w:hint="eastAsia" w:ascii="仿宋_GB2312" w:hAnsi="仿宋_GB2312" w:eastAsia="仿宋_GB2312" w:cs="仿宋_GB2312"/>
          <w:color w:val="auto"/>
          <w:sz w:val="32"/>
          <w:highlight w:val="none"/>
          <w:lang w:val="en-US" w:eastAsia="zh-CN"/>
        </w:rPr>
        <w:t>数字平台经济下青年创业行为机理与政策响应研究</w:t>
      </w:r>
    </w:p>
    <w:p>
      <w:pPr>
        <w:keepNext w:val="0"/>
        <w:keepLines w:val="0"/>
        <w:pageBreakBefore w:val="0"/>
        <w:widowControl w:val="0"/>
        <w:kinsoku/>
        <w:wordWrap/>
        <w:overflowPunct/>
        <w:topLinePunct w:val="0"/>
        <w:autoSpaceDE/>
        <w:autoSpaceDN/>
        <w:bidi w:val="0"/>
        <w:adjustRightInd/>
        <w:snapToGrid/>
        <w:spacing w:beforeAutospacing="0" w:line="580" w:lineRule="exact"/>
        <w:ind w:left="0" w:leftChars="0" w:right="0" w:rightChars="0" w:firstLine="632" w:firstLineChars="200"/>
        <w:textAlignment w:val="auto"/>
        <w:rPr>
          <w:rFonts w:hint="eastAsia" w:ascii="楷体_GB2312" w:hAnsi="楷体_GB2312" w:eastAsia="楷体_GB2312" w:cs="楷体_GB2312"/>
          <w:color w:val="auto"/>
          <w:sz w:val="32"/>
          <w:highlight w:val="none"/>
          <w:lang w:val="en-US" w:eastAsia="zh-CN"/>
        </w:rPr>
      </w:pPr>
      <w:r>
        <w:rPr>
          <w:rFonts w:hint="eastAsia" w:ascii="楷体_GB2312" w:hAnsi="楷体_GB2312" w:eastAsia="楷体_GB2312" w:cs="楷体_GB2312"/>
          <w:color w:val="auto"/>
          <w:sz w:val="32"/>
          <w:highlight w:val="none"/>
          <w:lang w:val="en-US" w:eastAsia="zh-CN"/>
        </w:rPr>
        <w:t>（二）社会保障</w:t>
      </w:r>
    </w:p>
    <w:p>
      <w:pPr>
        <w:keepNext w:val="0"/>
        <w:keepLines w:val="0"/>
        <w:pageBreakBefore w:val="0"/>
        <w:widowControl w:val="0"/>
        <w:kinsoku/>
        <w:wordWrap/>
        <w:overflowPunct/>
        <w:topLinePunct w:val="0"/>
        <w:autoSpaceDE/>
        <w:autoSpaceDN/>
        <w:bidi w:val="0"/>
        <w:adjustRightInd/>
        <w:snapToGrid/>
        <w:spacing w:beforeAutospacing="0" w:line="580" w:lineRule="exact"/>
        <w:ind w:left="0" w:leftChars="0" w:right="0" w:rightChars="0" w:firstLine="632" w:firstLineChars="200"/>
        <w:textAlignment w:val="auto"/>
        <w:rPr>
          <w:rFonts w:hint="eastAsia" w:ascii="仿宋_GB2312" w:hAnsi="仿宋_GB2312" w:eastAsia="仿宋_GB2312" w:cs="仿宋_GB2312"/>
          <w:color w:val="auto"/>
          <w:sz w:val="32"/>
          <w:highlight w:val="none"/>
          <w:lang w:val="en-US" w:eastAsia="zh-CN"/>
        </w:rPr>
      </w:pPr>
      <w:r>
        <w:rPr>
          <w:rFonts w:hint="eastAsia" w:ascii="仿宋_GB2312" w:hAnsi="仿宋_GB2312" w:eastAsia="仿宋_GB2312" w:cs="仿宋_GB2312"/>
          <w:color w:val="auto"/>
          <w:sz w:val="32"/>
          <w:highlight w:val="none"/>
          <w:lang w:val="en-US" w:eastAsia="zh-CN"/>
        </w:rPr>
        <w:t>1.新就业形态人员参加失业保险政策研究</w:t>
      </w:r>
    </w:p>
    <w:p>
      <w:pPr>
        <w:keepNext w:val="0"/>
        <w:keepLines w:val="0"/>
        <w:pageBreakBefore w:val="0"/>
        <w:widowControl w:val="0"/>
        <w:kinsoku/>
        <w:wordWrap/>
        <w:overflowPunct/>
        <w:topLinePunct w:val="0"/>
        <w:autoSpaceDE/>
        <w:autoSpaceDN/>
        <w:bidi w:val="0"/>
        <w:adjustRightInd/>
        <w:snapToGrid/>
        <w:spacing w:beforeAutospacing="0" w:line="580" w:lineRule="exact"/>
        <w:ind w:left="0" w:leftChars="0" w:right="0" w:rightChars="0" w:firstLine="632" w:firstLineChars="200"/>
        <w:textAlignment w:val="auto"/>
        <w:rPr>
          <w:rFonts w:hint="eastAsia" w:ascii="仿宋_GB2312" w:hAnsi="仿宋_GB2312" w:eastAsia="仿宋_GB2312" w:cs="仿宋_GB2312"/>
          <w:color w:val="auto"/>
          <w:sz w:val="32"/>
          <w:highlight w:val="none"/>
          <w:lang w:val="en-US" w:eastAsia="zh-CN"/>
        </w:rPr>
      </w:pPr>
      <w:r>
        <w:rPr>
          <w:rFonts w:hint="eastAsia" w:ascii="仿宋_GB2312" w:hAnsi="仿宋_GB2312" w:eastAsia="仿宋_GB2312" w:cs="仿宋_GB2312"/>
          <w:color w:val="auto"/>
          <w:sz w:val="32"/>
          <w:highlight w:val="none"/>
          <w:lang w:val="en-US" w:eastAsia="zh-CN"/>
        </w:rPr>
        <w:t>2.发挥失业保险就业促进作用对策研究</w:t>
      </w:r>
    </w:p>
    <w:p>
      <w:pPr>
        <w:keepNext w:val="0"/>
        <w:keepLines w:val="0"/>
        <w:pageBreakBefore w:val="0"/>
        <w:widowControl w:val="0"/>
        <w:kinsoku/>
        <w:wordWrap/>
        <w:overflowPunct/>
        <w:topLinePunct w:val="0"/>
        <w:autoSpaceDE/>
        <w:autoSpaceDN/>
        <w:bidi w:val="0"/>
        <w:adjustRightInd/>
        <w:snapToGrid/>
        <w:spacing w:beforeAutospacing="0" w:line="580" w:lineRule="exact"/>
        <w:ind w:left="0" w:leftChars="0" w:right="0" w:rightChars="0" w:firstLine="632" w:firstLineChars="200"/>
        <w:textAlignment w:val="auto"/>
        <w:rPr>
          <w:rFonts w:hint="eastAsia" w:ascii="仿宋_GB2312" w:hAnsi="仿宋_GB2312" w:eastAsia="仿宋_GB2312" w:cs="仿宋_GB2312"/>
          <w:color w:val="auto"/>
          <w:sz w:val="32"/>
          <w:highlight w:val="none"/>
          <w:lang w:val="en-US" w:eastAsia="zh-CN"/>
        </w:rPr>
      </w:pPr>
      <w:r>
        <w:rPr>
          <w:rFonts w:hint="eastAsia" w:ascii="仿宋_GB2312" w:hAnsi="仿宋_GB2312" w:eastAsia="仿宋_GB2312" w:cs="仿宋_GB2312"/>
          <w:color w:val="auto"/>
          <w:sz w:val="32"/>
          <w:highlight w:val="none"/>
          <w:lang w:val="en-US" w:eastAsia="zh-CN"/>
        </w:rPr>
        <w:t>3.完善工伤预防体系研究</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line="580" w:lineRule="exact"/>
        <w:ind w:left="0" w:leftChars="0" w:right="0" w:rightChars="0" w:firstLine="632" w:firstLineChars="200"/>
        <w:textAlignment w:val="auto"/>
        <w:rPr>
          <w:rFonts w:hint="eastAsia" w:ascii="仿宋_GB2312" w:hAnsi="仿宋_GB2312" w:eastAsia="仿宋_GB2312" w:cs="仿宋_GB2312"/>
          <w:color w:val="auto"/>
          <w:sz w:val="32"/>
          <w:highlight w:val="none"/>
          <w:lang w:val="en-US" w:eastAsia="zh-CN"/>
        </w:rPr>
      </w:pPr>
      <w:r>
        <w:rPr>
          <w:rFonts w:hint="eastAsia" w:ascii="仿宋_GB2312" w:hAnsi="仿宋_GB2312" w:eastAsia="仿宋_GB2312" w:cs="仿宋_GB2312"/>
          <w:color w:val="auto"/>
          <w:sz w:val="32"/>
          <w:highlight w:val="none"/>
          <w:lang w:val="en-US" w:eastAsia="zh-CN"/>
        </w:rPr>
        <w:t>4.共同富裕背景下城乡社会保险融合发展路径研究</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line="580" w:lineRule="exact"/>
        <w:ind w:left="0" w:leftChars="0" w:right="0" w:rightChars="0" w:firstLine="632" w:firstLineChars="200"/>
        <w:textAlignment w:val="auto"/>
        <w:rPr>
          <w:rFonts w:hint="eastAsia" w:ascii="仿宋_GB2312" w:hAnsi="仿宋_GB2312" w:eastAsia="仿宋_GB2312" w:cs="仿宋_GB2312"/>
          <w:color w:val="auto"/>
          <w:sz w:val="32"/>
          <w:highlight w:val="none"/>
          <w:lang w:val="en-US" w:eastAsia="zh-CN"/>
        </w:rPr>
      </w:pPr>
      <w:r>
        <w:rPr>
          <w:rFonts w:hint="eastAsia" w:ascii="仿宋_GB2312" w:hAnsi="仿宋_GB2312" w:eastAsia="仿宋_GB2312" w:cs="仿宋_GB2312"/>
          <w:color w:val="auto"/>
          <w:sz w:val="32"/>
          <w:highlight w:val="none"/>
          <w:lang w:val="en-US" w:eastAsia="zh-CN"/>
        </w:rPr>
        <w:t>5.延迟退休政策对参保扩面的现实挑战及应对策略研究</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line="580" w:lineRule="exact"/>
        <w:ind w:left="0" w:leftChars="0" w:right="0" w:rightChars="0" w:firstLine="632" w:firstLineChars="200"/>
        <w:textAlignment w:val="auto"/>
        <w:rPr>
          <w:rFonts w:hint="eastAsia" w:ascii="仿宋_GB2312" w:hAnsi="仿宋_GB2312" w:eastAsia="仿宋_GB2312" w:cs="仿宋_GB2312"/>
          <w:color w:val="auto"/>
          <w:sz w:val="32"/>
          <w:highlight w:val="none"/>
          <w:lang w:val="en-US" w:eastAsia="zh-CN"/>
        </w:rPr>
      </w:pPr>
      <w:r>
        <w:rPr>
          <w:rFonts w:hint="eastAsia" w:ascii="仿宋_GB2312" w:hAnsi="仿宋_GB2312" w:eastAsia="仿宋_GB2312" w:cs="仿宋_GB2312"/>
          <w:color w:val="auto"/>
          <w:sz w:val="32"/>
          <w:highlight w:val="none"/>
          <w:lang w:val="en-US" w:eastAsia="zh-CN"/>
        </w:rPr>
        <w:t>6.农民工参加企业职工基本养老保险现状及优化路径研究</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line="580" w:lineRule="exact"/>
        <w:ind w:left="0" w:leftChars="0" w:right="0" w:rightChars="0" w:firstLine="632" w:firstLineChars="200"/>
        <w:textAlignment w:val="auto"/>
        <w:rPr>
          <w:rFonts w:hint="eastAsia" w:ascii="仿宋_GB2312" w:hAnsi="仿宋_GB2312" w:eastAsia="仿宋_GB2312" w:cs="仿宋_GB2312"/>
          <w:color w:val="auto"/>
          <w:sz w:val="32"/>
          <w:highlight w:val="none"/>
          <w:lang w:val="en-US" w:eastAsia="zh-CN"/>
        </w:rPr>
      </w:pPr>
      <w:r>
        <w:rPr>
          <w:rFonts w:hint="eastAsia" w:ascii="仿宋_GB2312" w:hAnsi="仿宋_GB2312" w:eastAsia="仿宋_GB2312" w:cs="仿宋_GB2312"/>
          <w:color w:val="auto"/>
          <w:sz w:val="32"/>
          <w:highlight w:val="none"/>
          <w:lang w:val="en-US" w:eastAsia="zh-CN"/>
        </w:rPr>
        <w:t>7.共同富裕背景下城乡居民基本养老保险提质路径研究</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line="580" w:lineRule="exact"/>
        <w:ind w:left="0" w:leftChars="0" w:right="0" w:rightChars="0" w:firstLine="632" w:firstLineChars="200"/>
        <w:textAlignment w:val="auto"/>
        <w:rPr>
          <w:rFonts w:hint="eastAsia" w:ascii="仿宋_GB2312" w:hAnsi="仿宋_GB2312" w:eastAsia="仿宋_GB2312" w:cs="仿宋_GB2312"/>
          <w:color w:val="auto"/>
          <w:sz w:val="32"/>
          <w:highlight w:val="none"/>
          <w:lang w:val="en-US" w:eastAsia="zh-CN"/>
        </w:rPr>
      </w:pPr>
      <w:r>
        <w:rPr>
          <w:rFonts w:hint="eastAsia" w:ascii="仿宋_GB2312" w:hAnsi="仿宋_GB2312" w:eastAsia="仿宋_GB2312" w:cs="仿宋_GB2312"/>
          <w:color w:val="auto"/>
          <w:sz w:val="32"/>
          <w:highlight w:val="none"/>
          <w:lang w:val="en-US" w:eastAsia="zh-CN"/>
        </w:rPr>
        <w:t>8.新就业形态就业人员职业伤害保障水平对比研究</w:t>
      </w:r>
    </w:p>
    <w:p>
      <w:pPr>
        <w:keepNext w:val="0"/>
        <w:keepLines w:val="0"/>
        <w:pageBreakBefore w:val="0"/>
        <w:widowControl w:val="0"/>
        <w:kinsoku/>
        <w:wordWrap/>
        <w:overflowPunct/>
        <w:topLinePunct w:val="0"/>
        <w:autoSpaceDE/>
        <w:autoSpaceDN/>
        <w:bidi w:val="0"/>
        <w:adjustRightInd/>
        <w:snapToGrid/>
        <w:spacing w:beforeAutospacing="0" w:line="580" w:lineRule="exact"/>
        <w:ind w:left="0" w:leftChars="0" w:right="0" w:rightChars="0" w:firstLine="632" w:firstLineChars="200"/>
        <w:textAlignment w:val="auto"/>
        <w:rPr>
          <w:rFonts w:hint="eastAsia" w:ascii="楷体_GB2312" w:hAnsi="楷体_GB2312" w:eastAsia="楷体_GB2312" w:cs="楷体_GB2312"/>
          <w:color w:val="auto"/>
          <w:sz w:val="32"/>
          <w:szCs w:val="32"/>
          <w:highlight w:val="none"/>
          <w:lang w:val="en-US" w:eastAsia="zh-CN"/>
        </w:rPr>
      </w:pPr>
      <w:r>
        <w:rPr>
          <w:rFonts w:hint="eastAsia" w:ascii="楷体_GB2312" w:hAnsi="楷体_GB2312" w:eastAsia="楷体_GB2312" w:cs="楷体_GB2312"/>
          <w:color w:val="auto"/>
          <w:sz w:val="32"/>
          <w:szCs w:val="32"/>
          <w:highlight w:val="none"/>
          <w:lang w:val="en-US" w:eastAsia="zh-CN"/>
        </w:rPr>
        <w:t>（三）人才人事</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line="580" w:lineRule="exact"/>
        <w:ind w:left="0" w:leftChars="0" w:right="0" w:rightChars="0" w:firstLine="632" w:firstLineChars="200"/>
        <w:textAlignment w:val="auto"/>
        <w:rPr>
          <w:rFonts w:hint="eastAsia" w:ascii="仿宋_GB2312" w:hAnsi="仿宋_GB2312" w:eastAsia="仿宋_GB2312" w:cs="仿宋_GB2312"/>
          <w:color w:val="auto"/>
          <w:sz w:val="32"/>
          <w:highlight w:val="none"/>
          <w:lang w:val="en-US" w:eastAsia="zh-CN"/>
        </w:rPr>
      </w:pPr>
      <w:r>
        <w:rPr>
          <w:rFonts w:hint="eastAsia" w:ascii="仿宋_GB2312" w:hAnsi="仿宋_GB2312" w:eastAsia="仿宋_GB2312" w:cs="仿宋_GB2312"/>
          <w:color w:val="auto"/>
          <w:sz w:val="32"/>
          <w:highlight w:val="none"/>
          <w:lang w:val="en-US" w:eastAsia="zh-CN"/>
        </w:rPr>
        <w:t>1.培育硬科技型留学人员创业企业路径研究</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line="580" w:lineRule="exact"/>
        <w:ind w:left="0" w:leftChars="0" w:right="0" w:rightChars="0" w:firstLine="632" w:firstLineChars="200"/>
        <w:textAlignment w:val="auto"/>
        <w:rPr>
          <w:rFonts w:hint="default" w:ascii="仿宋_GB2312" w:hAnsi="仿宋_GB2312" w:eastAsia="仿宋_GB2312" w:cs="仿宋_GB2312"/>
          <w:color w:val="auto"/>
          <w:sz w:val="32"/>
          <w:highlight w:val="none"/>
          <w:lang w:val="en-US" w:eastAsia="zh-CN"/>
        </w:rPr>
      </w:pPr>
      <w:r>
        <w:rPr>
          <w:rFonts w:hint="eastAsia" w:ascii="仿宋_GB2312" w:hAnsi="仿宋_GB2312" w:eastAsia="仿宋_GB2312" w:cs="仿宋_GB2312"/>
          <w:color w:val="auto"/>
          <w:sz w:val="32"/>
          <w:highlight w:val="none"/>
          <w:lang w:val="en-US" w:eastAsia="zh-CN"/>
        </w:rPr>
        <w:t>2.黄河流域省（区）高层次人才协同共育共用研究</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line="580" w:lineRule="exact"/>
        <w:ind w:left="0" w:leftChars="0" w:right="0" w:rightChars="0" w:firstLine="632" w:firstLineChars="200"/>
        <w:textAlignment w:val="auto"/>
        <w:rPr>
          <w:rFonts w:hint="eastAsia" w:ascii="仿宋_GB2312" w:hAnsi="仿宋_GB2312" w:eastAsia="仿宋_GB2312" w:cs="仿宋_GB2312"/>
          <w:color w:val="auto"/>
          <w:sz w:val="32"/>
          <w:highlight w:val="none"/>
          <w:lang w:val="en-US" w:eastAsia="zh-CN"/>
        </w:rPr>
      </w:pPr>
      <w:r>
        <w:rPr>
          <w:rFonts w:hint="eastAsia" w:ascii="仿宋_GB2312" w:hAnsi="仿宋_GB2312" w:eastAsia="仿宋_GB2312" w:cs="仿宋_GB2312"/>
          <w:color w:val="auto"/>
          <w:sz w:val="32"/>
          <w:highlight w:val="none"/>
          <w:lang w:val="en-US" w:eastAsia="zh-CN"/>
        </w:rPr>
        <w:t>3.人工智能赋能职称评审数字化转型路径研究</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line="580" w:lineRule="exact"/>
        <w:ind w:left="0" w:leftChars="0" w:right="0" w:rightChars="0" w:firstLine="632" w:firstLineChars="200"/>
        <w:textAlignment w:val="auto"/>
        <w:rPr>
          <w:rFonts w:hint="eastAsia" w:ascii="仿宋_GB2312" w:hAnsi="仿宋_GB2312" w:eastAsia="仿宋_GB2312" w:cs="仿宋_GB2312"/>
          <w:color w:val="auto"/>
          <w:sz w:val="32"/>
          <w:highlight w:val="none"/>
          <w:lang w:val="en-US" w:eastAsia="zh-CN"/>
        </w:rPr>
      </w:pPr>
      <w:r>
        <w:rPr>
          <w:rFonts w:hint="eastAsia" w:ascii="仿宋_GB2312" w:hAnsi="仿宋_GB2312" w:eastAsia="仿宋_GB2312" w:cs="仿宋_GB2312"/>
          <w:color w:val="auto"/>
          <w:sz w:val="32"/>
          <w:highlight w:val="none"/>
          <w:lang w:val="en-US" w:eastAsia="zh-CN"/>
        </w:rPr>
        <w:t>4.技工院校赋能技能型社会建设路径研究</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line="580" w:lineRule="exact"/>
        <w:ind w:left="0" w:leftChars="0" w:right="0" w:rightChars="0" w:firstLine="632" w:firstLineChars="200"/>
        <w:textAlignment w:val="auto"/>
        <w:rPr>
          <w:rFonts w:hint="eastAsia" w:ascii="仿宋_GB2312" w:hAnsi="仿宋_GB2312" w:eastAsia="仿宋_GB2312" w:cs="仿宋_GB2312"/>
          <w:color w:val="auto"/>
          <w:sz w:val="32"/>
          <w:highlight w:val="none"/>
          <w:lang w:val="en-US" w:eastAsia="zh-CN"/>
        </w:rPr>
      </w:pPr>
      <w:r>
        <w:rPr>
          <w:rFonts w:hint="eastAsia" w:ascii="仿宋_GB2312" w:hAnsi="仿宋_GB2312" w:eastAsia="仿宋_GB2312" w:cs="仿宋_GB2312"/>
          <w:color w:val="auto"/>
          <w:sz w:val="32"/>
          <w:highlight w:val="none"/>
          <w:lang w:val="en-US" w:eastAsia="zh-CN"/>
        </w:rPr>
        <w:t>5.加强高校毕业生学校教育和职业技能培训转化的研究</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line="580" w:lineRule="exact"/>
        <w:ind w:left="0" w:leftChars="0" w:right="0" w:rightChars="0" w:firstLine="632" w:firstLineChars="200"/>
        <w:textAlignment w:val="auto"/>
        <w:rPr>
          <w:rFonts w:hint="eastAsia" w:ascii="仿宋_GB2312" w:hAnsi="仿宋_GB2312" w:eastAsia="仿宋_GB2312" w:cs="仿宋_GB2312"/>
          <w:color w:val="auto"/>
          <w:sz w:val="32"/>
          <w:highlight w:val="none"/>
          <w:lang w:val="en-US" w:eastAsia="zh-CN"/>
        </w:rPr>
      </w:pPr>
      <w:r>
        <w:rPr>
          <w:rFonts w:hint="eastAsia" w:ascii="仿宋_GB2312" w:hAnsi="仿宋_GB2312" w:eastAsia="仿宋_GB2312" w:cs="仿宋_GB2312"/>
          <w:color w:val="auto"/>
          <w:sz w:val="32"/>
          <w:highlight w:val="none"/>
          <w:lang w:val="en-US" w:eastAsia="zh-CN"/>
        </w:rPr>
        <w:t>6.应用型高校与技工院校职业指导智能化转型路径研究</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line="580" w:lineRule="exact"/>
        <w:ind w:left="0" w:leftChars="0" w:right="0" w:rightChars="0" w:firstLine="632" w:firstLineChars="200"/>
        <w:textAlignment w:val="auto"/>
        <w:rPr>
          <w:rFonts w:hint="eastAsia" w:ascii="仿宋_GB2312" w:hAnsi="仿宋_GB2312" w:eastAsia="仿宋_GB2312" w:cs="仿宋_GB2312"/>
          <w:color w:val="auto"/>
          <w:sz w:val="32"/>
          <w:highlight w:val="none"/>
          <w:lang w:val="en-US" w:eastAsia="zh-CN"/>
        </w:rPr>
      </w:pPr>
      <w:r>
        <w:rPr>
          <w:rFonts w:hint="eastAsia" w:ascii="仿宋_GB2312" w:hAnsi="仿宋_GB2312" w:eastAsia="仿宋_GB2312" w:cs="仿宋_GB2312"/>
          <w:color w:val="auto"/>
          <w:sz w:val="32"/>
          <w:highlight w:val="none"/>
          <w:lang w:val="en-US" w:eastAsia="zh-CN"/>
        </w:rPr>
        <w:t>7.技能人才评价质量监管体系研究</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line="580" w:lineRule="exact"/>
        <w:ind w:left="0" w:leftChars="0" w:right="0" w:rightChars="0" w:firstLine="632" w:firstLineChars="200"/>
        <w:textAlignment w:val="auto"/>
        <w:rPr>
          <w:rFonts w:hint="eastAsia" w:ascii="仿宋_GB2312" w:hAnsi="仿宋_GB2312" w:eastAsia="仿宋_GB2312" w:cs="仿宋_GB2312"/>
          <w:color w:val="auto"/>
          <w:sz w:val="32"/>
          <w:highlight w:val="none"/>
          <w:lang w:val="en-US" w:eastAsia="zh-CN"/>
        </w:rPr>
      </w:pPr>
      <w:r>
        <w:rPr>
          <w:rFonts w:hint="eastAsia" w:ascii="仿宋_GB2312" w:hAnsi="仿宋_GB2312" w:eastAsia="仿宋_GB2312" w:cs="仿宋_GB2312"/>
          <w:color w:val="auto"/>
          <w:sz w:val="32"/>
          <w:highlight w:val="none"/>
          <w:lang w:val="en-US" w:eastAsia="zh-CN"/>
        </w:rPr>
        <w:t>8.山东省人事考试机构风险评估及预警研究</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line="580" w:lineRule="exact"/>
        <w:ind w:left="0" w:leftChars="0" w:right="0" w:rightChars="0" w:firstLine="632" w:firstLineChars="200"/>
        <w:textAlignment w:val="auto"/>
        <w:rPr>
          <w:rFonts w:hint="eastAsia" w:ascii="仿宋_GB2312" w:hAnsi="仿宋_GB2312" w:eastAsia="仿宋_GB2312" w:cs="仿宋_GB2312"/>
          <w:color w:val="auto"/>
          <w:sz w:val="32"/>
          <w:highlight w:val="none"/>
          <w:lang w:val="en-US" w:eastAsia="zh-CN"/>
        </w:rPr>
      </w:pPr>
      <w:r>
        <w:rPr>
          <w:rFonts w:hint="eastAsia" w:ascii="仿宋_GB2312" w:hAnsi="仿宋_GB2312" w:eastAsia="仿宋_GB2312" w:cs="仿宋_GB2312"/>
          <w:color w:val="auto"/>
          <w:sz w:val="32"/>
          <w:highlight w:val="none"/>
          <w:lang w:val="en-US" w:eastAsia="zh-CN"/>
        </w:rPr>
        <w:t>9.人工智能辅助人事考试命题研究</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line="580" w:lineRule="exact"/>
        <w:ind w:left="0" w:leftChars="0" w:right="0" w:rightChars="0" w:firstLine="632" w:firstLineChars="200"/>
        <w:textAlignment w:val="auto"/>
        <w:rPr>
          <w:rFonts w:hint="eastAsia" w:ascii="仿宋_GB2312" w:hAnsi="仿宋_GB2312" w:eastAsia="仿宋_GB2312" w:cs="仿宋_GB2312"/>
          <w:color w:val="auto"/>
          <w:sz w:val="32"/>
          <w:highlight w:val="none"/>
          <w:lang w:val="en-US" w:eastAsia="zh-CN"/>
        </w:rPr>
      </w:pPr>
      <w:r>
        <w:rPr>
          <w:rFonts w:hint="eastAsia" w:ascii="仿宋_GB2312" w:hAnsi="仿宋_GB2312" w:eastAsia="仿宋_GB2312" w:cs="仿宋_GB2312"/>
          <w:color w:val="auto"/>
          <w:sz w:val="32"/>
          <w:highlight w:val="none"/>
          <w:lang w:val="en-US" w:eastAsia="zh-CN"/>
        </w:rPr>
        <w:t>10.山东省专家服务基地作用发挥和量化评价体系建设研究</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line="580" w:lineRule="exact"/>
        <w:ind w:left="0" w:leftChars="0" w:right="0" w:rightChars="0" w:firstLine="632" w:firstLineChars="200"/>
        <w:textAlignment w:val="auto"/>
        <w:rPr>
          <w:rFonts w:hint="eastAsia" w:ascii="仿宋_GB2312" w:hAnsi="仿宋_GB2312" w:eastAsia="仿宋_GB2312" w:cs="仿宋_GB2312"/>
          <w:color w:val="auto"/>
          <w:sz w:val="32"/>
          <w:highlight w:val="none"/>
          <w:lang w:val="en-US" w:eastAsia="zh-CN"/>
        </w:rPr>
      </w:pPr>
      <w:r>
        <w:rPr>
          <w:rFonts w:hint="eastAsia" w:ascii="仿宋_GB2312" w:hAnsi="仿宋_GB2312" w:eastAsia="仿宋_GB2312" w:cs="仿宋_GB2312"/>
          <w:color w:val="auto"/>
          <w:sz w:val="32"/>
          <w:highlight w:val="none"/>
          <w:lang w:val="en-US" w:eastAsia="zh-CN"/>
        </w:rPr>
        <w:t>11.新时代高层次人才服务联盟建设研究</w:t>
      </w:r>
    </w:p>
    <w:p>
      <w:pPr>
        <w:keepNext w:val="0"/>
        <w:keepLines w:val="0"/>
        <w:pageBreakBefore w:val="0"/>
        <w:widowControl w:val="0"/>
        <w:kinsoku/>
        <w:wordWrap/>
        <w:overflowPunct/>
        <w:topLinePunct w:val="0"/>
        <w:autoSpaceDE/>
        <w:autoSpaceDN/>
        <w:bidi w:val="0"/>
        <w:adjustRightInd/>
        <w:snapToGrid/>
        <w:spacing w:beforeAutospacing="0" w:line="580" w:lineRule="exact"/>
        <w:ind w:left="0" w:leftChars="0" w:right="0" w:rightChars="0" w:firstLine="632" w:firstLineChars="200"/>
        <w:textAlignment w:val="auto"/>
        <w:rPr>
          <w:rFonts w:hint="eastAsia" w:ascii="楷体_GB2312" w:hAnsi="楷体_GB2312" w:eastAsia="楷体_GB2312" w:cs="楷体_GB2312"/>
          <w:color w:val="auto"/>
          <w:sz w:val="32"/>
          <w:highlight w:val="none"/>
          <w:lang w:val="en-US" w:eastAsia="zh-CN"/>
        </w:rPr>
      </w:pPr>
      <w:r>
        <w:rPr>
          <w:rFonts w:hint="eastAsia" w:ascii="楷体_GB2312" w:hAnsi="楷体_GB2312" w:eastAsia="楷体_GB2312" w:cs="楷体_GB2312"/>
          <w:color w:val="auto"/>
          <w:sz w:val="32"/>
          <w:highlight w:val="none"/>
          <w:lang w:val="en-US" w:eastAsia="zh-CN"/>
        </w:rPr>
        <w:t>（四）劳动关系</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line="580" w:lineRule="exact"/>
        <w:ind w:left="0" w:leftChars="0" w:right="0" w:rightChars="0" w:firstLine="632" w:firstLineChars="200"/>
        <w:textAlignment w:val="auto"/>
        <w:rPr>
          <w:rFonts w:hint="eastAsia" w:ascii="仿宋_GB2312" w:hAnsi="仿宋_GB2312" w:eastAsia="仿宋_GB2312" w:cs="仿宋_GB2312"/>
          <w:color w:val="auto"/>
          <w:sz w:val="32"/>
          <w:highlight w:val="none"/>
          <w:lang w:val="en-US" w:eastAsia="zh-CN"/>
        </w:rPr>
      </w:pPr>
      <w:r>
        <w:rPr>
          <w:rFonts w:hint="eastAsia" w:ascii="仿宋_GB2312" w:hAnsi="仿宋_GB2312" w:eastAsia="仿宋_GB2312" w:cs="仿宋_GB2312"/>
          <w:color w:val="auto"/>
          <w:sz w:val="32"/>
          <w:highlight w:val="none"/>
          <w:lang w:val="en-US" w:eastAsia="zh-CN"/>
        </w:rPr>
        <w:t>1.劳动关系协调员队伍建设研究</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line="580" w:lineRule="exact"/>
        <w:ind w:left="0" w:leftChars="0" w:right="0" w:rightChars="0" w:firstLine="632" w:firstLineChars="200"/>
        <w:textAlignment w:val="auto"/>
        <w:rPr>
          <w:rFonts w:hint="eastAsia" w:ascii="仿宋_GB2312" w:hAnsi="仿宋_GB2312" w:eastAsia="仿宋_GB2312" w:cs="仿宋_GB2312"/>
          <w:color w:val="auto"/>
          <w:sz w:val="32"/>
          <w:highlight w:val="none"/>
          <w:lang w:val="en-US" w:eastAsia="zh-CN"/>
        </w:rPr>
      </w:pPr>
      <w:r>
        <w:rPr>
          <w:rFonts w:hint="eastAsia" w:ascii="仿宋_GB2312" w:hAnsi="仿宋_GB2312" w:eastAsia="仿宋_GB2312" w:cs="仿宋_GB2312"/>
          <w:color w:val="auto"/>
          <w:sz w:val="32"/>
          <w:highlight w:val="none"/>
          <w:lang w:val="en-US" w:eastAsia="zh-CN"/>
        </w:rPr>
        <w:t>2.劳动关系基层治理能力建设研究</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line="580" w:lineRule="exact"/>
        <w:ind w:left="0" w:leftChars="0" w:right="0" w:rightChars="0" w:firstLine="632" w:firstLineChars="200"/>
        <w:textAlignment w:val="auto"/>
        <w:rPr>
          <w:rFonts w:hint="default" w:ascii="仿宋_GB2312" w:hAnsi="仿宋_GB2312" w:eastAsia="仿宋_GB2312" w:cs="仿宋_GB2312"/>
          <w:color w:val="auto"/>
          <w:sz w:val="32"/>
          <w:highlight w:val="none"/>
          <w:lang w:val="en-US" w:eastAsia="zh-CN"/>
        </w:rPr>
      </w:pPr>
      <w:r>
        <w:rPr>
          <w:rFonts w:hint="eastAsia" w:ascii="仿宋_GB2312" w:hAnsi="仿宋_GB2312" w:eastAsia="仿宋_GB2312" w:cs="仿宋_GB2312"/>
          <w:color w:val="auto"/>
          <w:sz w:val="32"/>
          <w:highlight w:val="none"/>
          <w:lang w:val="en-US" w:eastAsia="zh-CN"/>
        </w:rPr>
        <w:t xml:space="preserve">  ——以探索产业链、供应链和谐劳动关系构建为视角</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line="580" w:lineRule="exact"/>
        <w:ind w:left="0" w:leftChars="0" w:right="0" w:rightChars="0" w:firstLine="632" w:firstLineChars="200"/>
        <w:textAlignment w:val="auto"/>
        <w:rPr>
          <w:rFonts w:hint="eastAsia" w:ascii="仿宋_GB2312" w:hAnsi="仿宋_GB2312" w:eastAsia="仿宋_GB2312" w:cs="仿宋_GB2312"/>
          <w:color w:val="auto"/>
          <w:sz w:val="32"/>
          <w:highlight w:val="none"/>
          <w:lang w:val="en-US" w:eastAsia="zh-CN"/>
        </w:rPr>
      </w:pPr>
      <w:r>
        <w:rPr>
          <w:rFonts w:hint="eastAsia" w:ascii="仿宋_GB2312" w:hAnsi="仿宋_GB2312" w:eastAsia="仿宋_GB2312" w:cs="仿宋_GB2312"/>
          <w:color w:val="auto"/>
          <w:sz w:val="32"/>
          <w:highlight w:val="none"/>
          <w:lang w:val="en-US" w:eastAsia="zh-CN"/>
        </w:rPr>
        <w:t>3.劳动监察促进内需消费机制研究</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line="580" w:lineRule="exact"/>
        <w:ind w:left="0" w:leftChars="0" w:right="0" w:rightChars="0" w:firstLine="632" w:firstLineChars="200"/>
        <w:textAlignment w:val="auto"/>
        <w:rPr>
          <w:rFonts w:hint="default" w:ascii="楷体_GB2312" w:hAnsi="楷体_GB2312" w:eastAsia="楷体_GB2312" w:cs="楷体_GB2312"/>
          <w:color w:val="auto"/>
          <w:sz w:val="24"/>
          <w:szCs w:val="24"/>
          <w:lang w:val="en-US"/>
        </w:rPr>
      </w:pPr>
      <w:r>
        <w:rPr>
          <w:rFonts w:hint="eastAsia" w:ascii="仿宋_GB2312" w:hAnsi="仿宋_GB2312" w:eastAsia="仿宋_GB2312" w:cs="仿宋_GB2312"/>
          <w:color w:val="auto"/>
          <w:sz w:val="32"/>
          <w:highlight w:val="none"/>
          <w:lang w:val="en-US" w:eastAsia="zh-CN"/>
        </w:rPr>
        <w:t>4.超龄劳动者权益保障研究</w:t>
      </w:r>
      <w:bookmarkStart w:id="0" w:name="_GoBack"/>
      <w:bookmarkEnd w:id="0"/>
    </w:p>
    <w:sectPr>
      <w:pgSz w:w="11906" w:h="16838"/>
      <w:pgMar w:top="2098" w:right="1531" w:bottom="1814" w:left="1531" w:header="851" w:footer="1587" w:gutter="0"/>
      <w:cols w:space="0" w:num="1"/>
      <w:rtlGutter w:val="0"/>
      <w:docGrid w:type="linesAndChars" w:linePitch="58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方正舒体"/>
    <w:panose1 w:val="02000000000000000000"/>
    <w:charset w:val="86"/>
    <w:family w:val="script"/>
    <w:pitch w:val="default"/>
    <w:sig w:usb0="00000000" w:usb1="00000000"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2794FAF"/>
    <w:multiLevelType w:val="singleLevel"/>
    <w:tmpl w:val="22794FAF"/>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HorizontalSpacing w:val="158"/>
  <w:drawingGridVerticalSpacing w:val="295"/>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FiNDk4NDAzNmU1YWM5MDZiNWJhOWFkZjViMDBkY2QifQ=="/>
  </w:docVars>
  <w:rsids>
    <w:rsidRoot w:val="00000000"/>
    <w:rsid w:val="00044EF2"/>
    <w:rsid w:val="00AF4947"/>
    <w:rsid w:val="0119677B"/>
    <w:rsid w:val="02EE60F6"/>
    <w:rsid w:val="03C07382"/>
    <w:rsid w:val="04B213C1"/>
    <w:rsid w:val="05110522"/>
    <w:rsid w:val="058F525E"/>
    <w:rsid w:val="06C75A8A"/>
    <w:rsid w:val="09B63701"/>
    <w:rsid w:val="09FB55B8"/>
    <w:rsid w:val="0A2D7A8F"/>
    <w:rsid w:val="0AA40EAF"/>
    <w:rsid w:val="0C630154"/>
    <w:rsid w:val="0C932D42"/>
    <w:rsid w:val="0EEA48AC"/>
    <w:rsid w:val="0F40581B"/>
    <w:rsid w:val="0FC832CD"/>
    <w:rsid w:val="10042992"/>
    <w:rsid w:val="103233B6"/>
    <w:rsid w:val="10B4201D"/>
    <w:rsid w:val="112453F4"/>
    <w:rsid w:val="11B5604C"/>
    <w:rsid w:val="120C7C36"/>
    <w:rsid w:val="12BF3737"/>
    <w:rsid w:val="12CF313E"/>
    <w:rsid w:val="140E413A"/>
    <w:rsid w:val="145D4F96"/>
    <w:rsid w:val="15B74ADA"/>
    <w:rsid w:val="17C527F3"/>
    <w:rsid w:val="1D62455C"/>
    <w:rsid w:val="1E220F0E"/>
    <w:rsid w:val="1E63576F"/>
    <w:rsid w:val="1E965C58"/>
    <w:rsid w:val="1F8A4FBC"/>
    <w:rsid w:val="1FA15E62"/>
    <w:rsid w:val="205B4263"/>
    <w:rsid w:val="205C7FDB"/>
    <w:rsid w:val="2094311A"/>
    <w:rsid w:val="20A420AE"/>
    <w:rsid w:val="20C55B80"/>
    <w:rsid w:val="210C3BDD"/>
    <w:rsid w:val="214B42D7"/>
    <w:rsid w:val="231A179B"/>
    <w:rsid w:val="2479115B"/>
    <w:rsid w:val="24B30B11"/>
    <w:rsid w:val="24FF3D57"/>
    <w:rsid w:val="26492DAF"/>
    <w:rsid w:val="26D46B1D"/>
    <w:rsid w:val="277044D4"/>
    <w:rsid w:val="2810627B"/>
    <w:rsid w:val="28A349F9"/>
    <w:rsid w:val="29AA1DB7"/>
    <w:rsid w:val="29E93DFF"/>
    <w:rsid w:val="2A0C65CE"/>
    <w:rsid w:val="2A7C5978"/>
    <w:rsid w:val="2A810D6A"/>
    <w:rsid w:val="2ACE536A"/>
    <w:rsid w:val="2C932FD6"/>
    <w:rsid w:val="2EA1046C"/>
    <w:rsid w:val="2ED96145"/>
    <w:rsid w:val="2F4D42C5"/>
    <w:rsid w:val="2F9432ED"/>
    <w:rsid w:val="310E0E7D"/>
    <w:rsid w:val="33B97ED5"/>
    <w:rsid w:val="33C341A1"/>
    <w:rsid w:val="33CF6FEA"/>
    <w:rsid w:val="34D108E8"/>
    <w:rsid w:val="36A24542"/>
    <w:rsid w:val="37164F30"/>
    <w:rsid w:val="372E5DD5"/>
    <w:rsid w:val="382F62A9"/>
    <w:rsid w:val="39CE6256"/>
    <w:rsid w:val="3A1F234D"/>
    <w:rsid w:val="3A47057C"/>
    <w:rsid w:val="3BE22833"/>
    <w:rsid w:val="3C221C81"/>
    <w:rsid w:val="3C29300F"/>
    <w:rsid w:val="3C495460"/>
    <w:rsid w:val="3D583BAC"/>
    <w:rsid w:val="3EAD1CD6"/>
    <w:rsid w:val="3EC15781"/>
    <w:rsid w:val="41302BC3"/>
    <w:rsid w:val="428E5609"/>
    <w:rsid w:val="43972F54"/>
    <w:rsid w:val="44D77AAC"/>
    <w:rsid w:val="456F5F37"/>
    <w:rsid w:val="45886D8A"/>
    <w:rsid w:val="45B7168C"/>
    <w:rsid w:val="45D72C17"/>
    <w:rsid w:val="467F664E"/>
    <w:rsid w:val="47D46525"/>
    <w:rsid w:val="480706A9"/>
    <w:rsid w:val="482251E7"/>
    <w:rsid w:val="48407F97"/>
    <w:rsid w:val="487274B4"/>
    <w:rsid w:val="48DB38E3"/>
    <w:rsid w:val="49C83E68"/>
    <w:rsid w:val="4A1248E1"/>
    <w:rsid w:val="4BB80C43"/>
    <w:rsid w:val="4C470FF6"/>
    <w:rsid w:val="4CDC1013"/>
    <w:rsid w:val="4F125A3A"/>
    <w:rsid w:val="4F146A5E"/>
    <w:rsid w:val="4F161B19"/>
    <w:rsid w:val="4F6A386B"/>
    <w:rsid w:val="50184479"/>
    <w:rsid w:val="51AA579D"/>
    <w:rsid w:val="52497B10"/>
    <w:rsid w:val="52992424"/>
    <w:rsid w:val="5413655E"/>
    <w:rsid w:val="543C16DA"/>
    <w:rsid w:val="5531145B"/>
    <w:rsid w:val="556709D9"/>
    <w:rsid w:val="563B2D30"/>
    <w:rsid w:val="57911D3D"/>
    <w:rsid w:val="59656166"/>
    <w:rsid w:val="59C83A10"/>
    <w:rsid w:val="5A0A227A"/>
    <w:rsid w:val="5A296BA4"/>
    <w:rsid w:val="5D5061F6"/>
    <w:rsid w:val="5DCD7847"/>
    <w:rsid w:val="5E40626B"/>
    <w:rsid w:val="5EC724E8"/>
    <w:rsid w:val="5F4A2A6F"/>
    <w:rsid w:val="5F750196"/>
    <w:rsid w:val="5FC44C79"/>
    <w:rsid w:val="628C5F22"/>
    <w:rsid w:val="63091321"/>
    <w:rsid w:val="631F28F3"/>
    <w:rsid w:val="634265E1"/>
    <w:rsid w:val="63500CFE"/>
    <w:rsid w:val="677F6056"/>
    <w:rsid w:val="6A58493C"/>
    <w:rsid w:val="6ACE4BFE"/>
    <w:rsid w:val="6BCE4FEF"/>
    <w:rsid w:val="6D1A4FAB"/>
    <w:rsid w:val="6FD25C22"/>
    <w:rsid w:val="700F345E"/>
    <w:rsid w:val="70946F38"/>
    <w:rsid w:val="70A4560E"/>
    <w:rsid w:val="71463740"/>
    <w:rsid w:val="719E1176"/>
    <w:rsid w:val="71AF7537"/>
    <w:rsid w:val="724C5877"/>
    <w:rsid w:val="7250318F"/>
    <w:rsid w:val="73426189"/>
    <w:rsid w:val="7380608B"/>
    <w:rsid w:val="753B6CA1"/>
    <w:rsid w:val="754B7119"/>
    <w:rsid w:val="761E4C8C"/>
    <w:rsid w:val="77E934CE"/>
    <w:rsid w:val="78100732"/>
    <w:rsid w:val="78363059"/>
    <w:rsid w:val="78414C61"/>
    <w:rsid w:val="78CC09CF"/>
    <w:rsid w:val="7A3B378F"/>
    <w:rsid w:val="7B745A72"/>
    <w:rsid w:val="7BC02341"/>
    <w:rsid w:val="7E355268"/>
    <w:rsid w:val="7F3C6183"/>
    <w:rsid w:val="B7BF32D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