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DEC4F">
      <w:pPr>
        <w:spacing w:line="360" w:lineRule="auto"/>
        <w:ind w:right="-57" w:rightChars="-27"/>
        <w:jc w:val="center"/>
        <w:rPr>
          <w:rFonts w:hint="eastAsia" w:ascii="宋体" w:hAnsi="宋体" w:cs="宋体"/>
          <w:b/>
          <w:bCs/>
          <w:sz w:val="32"/>
          <w:szCs w:val="32"/>
          <w:lang w:eastAsia="zh-CN"/>
        </w:rPr>
      </w:pPr>
      <w:bookmarkStart w:id="0" w:name="_GoBack"/>
      <w:r>
        <w:rPr>
          <w:rFonts w:hint="eastAsia" w:ascii="宋体" w:hAnsi="宋体" w:eastAsia="宋体" w:cs="宋体"/>
          <w:b/>
          <w:bCs/>
          <w:sz w:val="32"/>
          <w:szCs w:val="32"/>
        </w:rPr>
        <w:t>山东电子职业技术学</w:t>
      </w:r>
      <w:r>
        <w:rPr>
          <w:rFonts w:hint="eastAsia" w:ascii="宋体" w:hAnsi="宋体" w:cs="宋体"/>
          <w:b/>
          <w:bCs/>
          <w:sz w:val="32"/>
          <w:szCs w:val="32"/>
          <w:lang w:eastAsia="zh-CN"/>
        </w:rPr>
        <w:t>院</w:t>
      </w:r>
    </w:p>
    <w:p w14:paraId="5A87E630">
      <w:pPr>
        <w:spacing w:line="360" w:lineRule="auto"/>
        <w:ind w:right="-57" w:rightChars="-27"/>
        <w:jc w:val="center"/>
        <w:rPr>
          <w:rFonts w:hint="eastAsia" w:ascii="宋体" w:hAnsi="宋体" w:eastAsia="宋体" w:cs="宋体"/>
          <w:b/>
          <w:bCs/>
          <w:sz w:val="32"/>
          <w:szCs w:val="32"/>
        </w:rPr>
      </w:pPr>
      <w:r>
        <w:rPr>
          <w:rFonts w:hint="eastAsia" w:ascii="宋体" w:hAnsi="宋体" w:eastAsia="宋体" w:cs="宋体"/>
          <w:b/>
          <w:bCs/>
          <w:sz w:val="32"/>
          <w:szCs w:val="32"/>
        </w:rPr>
        <w:t>（2025年教学能力比赛培训</w:t>
      </w:r>
      <w:r>
        <w:rPr>
          <w:rFonts w:hint="eastAsia" w:ascii="宋体" w:hAnsi="宋体" w:cs="宋体"/>
          <w:b/>
          <w:bCs/>
          <w:sz w:val="32"/>
          <w:szCs w:val="32"/>
          <w:lang w:eastAsia="zh-CN"/>
        </w:rPr>
        <w:t>指导</w:t>
      </w:r>
      <w:r>
        <w:rPr>
          <w:rFonts w:hint="eastAsia" w:ascii="宋体" w:hAnsi="宋体" w:eastAsia="宋体" w:cs="宋体"/>
          <w:b/>
          <w:bCs/>
          <w:sz w:val="32"/>
          <w:szCs w:val="32"/>
        </w:rPr>
        <w:t>服务项目）需求明细表</w:t>
      </w:r>
    </w:p>
    <w:bookmarkEnd w:id="0"/>
    <w:tbl>
      <w:tblPr>
        <w:tblStyle w:val="2"/>
        <w:tblW w:w="10037"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96"/>
        <w:gridCol w:w="4513"/>
        <w:gridCol w:w="846"/>
        <w:gridCol w:w="818"/>
        <w:gridCol w:w="845"/>
        <w:gridCol w:w="955"/>
      </w:tblGrid>
      <w:tr w14:paraId="06AE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vAlign w:val="center"/>
          </w:tcPr>
          <w:p w14:paraId="76928FA2">
            <w:pPr>
              <w:spacing w:line="380" w:lineRule="exact"/>
              <w:ind w:right="-57" w:rightChars="-27"/>
              <w:jc w:val="center"/>
              <w:rPr>
                <w:rFonts w:hint="eastAsia" w:ascii="宋体" w:hAnsi="宋体"/>
                <w:bCs/>
                <w:sz w:val="24"/>
                <w:szCs w:val="24"/>
              </w:rPr>
            </w:pPr>
            <w:r>
              <w:rPr>
                <w:rFonts w:hint="eastAsia" w:ascii="宋体" w:hAnsi="宋体"/>
                <w:bCs/>
                <w:sz w:val="24"/>
                <w:szCs w:val="24"/>
              </w:rPr>
              <w:t>序号</w:t>
            </w:r>
          </w:p>
        </w:tc>
        <w:tc>
          <w:tcPr>
            <w:tcW w:w="1296" w:type="dxa"/>
            <w:vAlign w:val="center"/>
          </w:tcPr>
          <w:p w14:paraId="049AD7B8">
            <w:pPr>
              <w:spacing w:line="380" w:lineRule="exact"/>
              <w:ind w:right="-57" w:rightChars="-27"/>
              <w:jc w:val="center"/>
              <w:rPr>
                <w:rFonts w:hint="eastAsia" w:ascii="宋体" w:hAnsi="宋体"/>
                <w:bCs/>
                <w:sz w:val="24"/>
                <w:szCs w:val="24"/>
              </w:rPr>
            </w:pPr>
            <w:r>
              <w:rPr>
                <w:rFonts w:hint="eastAsia" w:ascii="宋体" w:hAnsi="宋体"/>
                <w:bCs/>
                <w:sz w:val="24"/>
                <w:szCs w:val="24"/>
              </w:rPr>
              <w:t>分项名称</w:t>
            </w:r>
          </w:p>
        </w:tc>
        <w:tc>
          <w:tcPr>
            <w:tcW w:w="4513" w:type="dxa"/>
            <w:vAlign w:val="center"/>
          </w:tcPr>
          <w:p w14:paraId="3BF28D57">
            <w:pPr>
              <w:spacing w:line="380" w:lineRule="exact"/>
              <w:ind w:right="-57" w:rightChars="-27"/>
              <w:jc w:val="center"/>
              <w:rPr>
                <w:rFonts w:hint="eastAsia" w:ascii="宋体" w:hAnsi="宋体"/>
                <w:bCs/>
                <w:sz w:val="24"/>
                <w:szCs w:val="24"/>
              </w:rPr>
            </w:pPr>
            <w:r>
              <w:rPr>
                <w:rFonts w:hint="eastAsia" w:ascii="宋体" w:hAnsi="宋体"/>
                <w:bCs/>
                <w:sz w:val="24"/>
                <w:szCs w:val="24"/>
              </w:rPr>
              <w:t>质量要求</w:t>
            </w:r>
          </w:p>
        </w:tc>
        <w:tc>
          <w:tcPr>
            <w:tcW w:w="846" w:type="dxa"/>
            <w:vAlign w:val="center"/>
          </w:tcPr>
          <w:p w14:paraId="6DA5D15B">
            <w:pPr>
              <w:spacing w:line="380" w:lineRule="exact"/>
              <w:ind w:right="-57" w:rightChars="-27"/>
              <w:jc w:val="center"/>
              <w:rPr>
                <w:rFonts w:hint="eastAsia" w:ascii="宋体" w:hAnsi="宋体"/>
                <w:bCs/>
                <w:sz w:val="24"/>
                <w:szCs w:val="24"/>
              </w:rPr>
            </w:pPr>
            <w:r>
              <w:rPr>
                <w:rFonts w:hint="eastAsia" w:ascii="宋体" w:hAnsi="宋体"/>
                <w:bCs/>
                <w:sz w:val="24"/>
                <w:szCs w:val="24"/>
              </w:rPr>
              <w:t>数量</w:t>
            </w:r>
          </w:p>
        </w:tc>
        <w:tc>
          <w:tcPr>
            <w:tcW w:w="818" w:type="dxa"/>
            <w:vAlign w:val="center"/>
          </w:tcPr>
          <w:p w14:paraId="4ECF35FC">
            <w:pPr>
              <w:spacing w:line="380" w:lineRule="exact"/>
              <w:ind w:right="-57" w:rightChars="-27"/>
              <w:jc w:val="center"/>
              <w:rPr>
                <w:rFonts w:hint="eastAsia" w:ascii="宋体" w:hAnsi="宋体"/>
                <w:bCs/>
                <w:sz w:val="24"/>
                <w:szCs w:val="24"/>
              </w:rPr>
            </w:pPr>
            <w:r>
              <w:rPr>
                <w:rFonts w:hint="eastAsia" w:ascii="宋体" w:hAnsi="宋体"/>
                <w:bCs/>
                <w:sz w:val="24"/>
                <w:szCs w:val="24"/>
              </w:rPr>
              <w:t>单位</w:t>
            </w:r>
          </w:p>
        </w:tc>
        <w:tc>
          <w:tcPr>
            <w:tcW w:w="845" w:type="dxa"/>
            <w:vAlign w:val="center"/>
          </w:tcPr>
          <w:p w14:paraId="120F3A88">
            <w:pPr>
              <w:spacing w:line="380" w:lineRule="exact"/>
              <w:ind w:right="-57" w:rightChars="-27"/>
              <w:jc w:val="center"/>
              <w:rPr>
                <w:rFonts w:hint="eastAsia" w:ascii="宋体" w:hAnsi="宋体"/>
                <w:bCs/>
                <w:sz w:val="24"/>
                <w:szCs w:val="24"/>
              </w:rPr>
            </w:pPr>
            <w:r>
              <w:rPr>
                <w:rFonts w:hint="eastAsia" w:ascii="宋体" w:hAnsi="宋体"/>
                <w:bCs/>
                <w:sz w:val="24"/>
                <w:szCs w:val="24"/>
              </w:rPr>
              <w:t>单价</w:t>
            </w:r>
          </w:p>
        </w:tc>
        <w:tc>
          <w:tcPr>
            <w:tcW w:w="955" w:type="dxa"/>
            <w:vAlign w:val="center"/>
          </w:tcPr>
          <w:p w14:paraId="170A7491">
            <w:pPr>
              <w:spacing w:line="380" w:lineRule="exact"/>
              <w:ind w:right="-57" w:rightChars="-27"/>
              <w:jc w:val="center"/>
              <w:rPr>
                <w:rFonts w:hint="eastAsia" w:ascii="宋体" w:hAnsi="宋体"/>
                <w:bCs/>
                <w:sz w:val="24"/>
                <w:szCs w:val="24"/>
              </w:rPr>
            </w:pPr>
            <w:r>
              <w:rPr>
                <w:rFonts w:hint="eastAsia" w:ascii="宋体" w:hAnsi="宋体"/>
                <w:bCs/>
                <w:sz w:val="24"/>
                <w:szCs w:val="24"/>
              </w:rPr>
              <w:t>小计</w:t>
            </w:r>
          </w:p>
        </w:tc>
      </w:tr>
      <w:tr w14:paraId="46F2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0C361A5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296" w:type="dxa"/>
            <w:tcBorders>
              <w:top w:val="single" w:color="auto" w:sz="4" w:space="0"/>
              <w:left w:val="single" w:color="auto" w:sz="4" w:space="0"/>
              <w:bottom w:val="single" w:color="auto" w:sz="4" w:space="0"/>
              <w:right w:val="single" w:color="auto" w:sz="4" w:space="0"/>
            </w:tcBorders>
            <w:vAlign w:val="center"/>
          </w:tcPr>
          <w:p w14:paraId="7C971A1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课程设计</w:t>
            </w:r>
            <w:r>
              <w:rPr>
                <w:rFonts w:hint="eastAsia" w:ascii="仿宋_GB2312" w:hAnsi="仿宋_GB2312" w:eastAsia="仿宋_GB2312" w:cs="仿宋_GB2312"/>
                <w:sz w:val="24"/>
                <w:szCs w:val="24"/>
                <w:lang w:eastAsia="zh-CN"/>
              </w:rPr>
              <w:t>培训</w:t>
            </w:r>
            <w:r>
              <w:rPr>
                <w:rFonts w:hint="eastAsia" w:ascii="仿宋_GB2312" w:hAnsi="仿宋_GB2312" w:eastAsia="仿宋_GB2312" w:cs="仿宋_GB2312"/>
                <w:sz w:val="24"/>
                <w:szCs w:val="24"/>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1292AC2A">
            <w:pPr>
              <w:numPr>
                <w:ilvl w:val="0"/>
                <w:numId w:val="1"/>
              </w:num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依据省赛标准，聘请国赛专家对整个课程建设框架及设计思路进行审核与指导，全程一对一（包括网评阶段和现场决赛阶段）对课程、教学、场景拍摄、拍摄脚本等课程设计与制作过程进行指导并模拟现场决赛进行实施报告讲解、无学生教学展示、答辩等演练，根据作品需要，每个作品不低于8次指导，每次不少于1个小时。2.对照在线精品课程及“金课”建设标准，聘请国赛专家对课程建设相关资源进行优化指导，包括课程能力图谱梳理、课程相应教学单元的设计优化，教案优化及排版、美化等相关指导。</w:t>
            </w:r>
          </w:p>
        </w:tc>
        <w:tc>
          <w:tcPr>
            <w:tcW w:w="846" w:type="dxa"/>
            <w:tcBorders>
              <w:top w:val="single" w:color="auto" w:sz="4" w:space="0"/>
              <w:left w:val="single" w:color="auto" w:sz="4" w:space="0"/>
              <w:bottom w:val="single" w:color="auto" w:sz="4" w:space="0"/>
              <w:right w:val="single" w:color="auto" w:sz="4" w:space="0"/>
            </w:tcBorders>
            <w:vAlign w:val="center"/>
          </w:tcPr>
          <w:p w14:paraId="0519D97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09D5FBDB">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5BDA8D26">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10000</w:t>
            </w:r>
          </w:p>
        </w:tc>
        <w:tc>
          <w:tcPr>
            <w:tcW w:w="955" w:type="dxa"/>
            <w:tcBorders>
              <w:top w:val="single" w:color="auto" w:sz="4" w:space="0"/>
              <w:left w:val="single" w:color="auto" w:sz="4" w:space="0"/>
              <w:bottom w:val="single" w:color="auto" w:sz="4" w:space="0"/>
              <w:right w:val="single" w:color="auto" w:sz="4" w:space="0"/>
            </w:tcBorders>
            <w:vAlign w:val="center"/>
          </w:tcPr>
          <w:p w14:paraId="11DD9A78">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40000</w:t>
            </w:r>
          </w:p>
        </w:tc>
      </w:tr>
      <w:tr w14:paraId="23B0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7004A70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296" w:type="dxa"/>
            <w:tcBorders>
              <w:top w:val="single" w:color="auto" w:sz="4" w:space="0"/>
              <w:left w:val="single" w:color="auto" w:sz="4" w:space="0"/>
              <w:bottom w:val="single" w:color="auto" w:sz="4" w:space="0"/>
              <w:right w:val="single" w:color="auto" w:sz="4" w:space="0"/>
            </w:tcBorders>
            <w:vAlign w:val="center"/>
          </w:tcPr>
          <w:p w14:paraId="5D3521A0">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人培、课标、教材选用说明规范</w:t>
            </w:r>
            <w:r>
              <w:rPr>
                <w:rFonts w:hint="eastAsia" w:ascii="仿宋_GB2312" w:hAnsi="仿宋_GB2312" w:eastAsia="仿宋_GB2312" w:cs="仿宋_GB2312"/>
                <w:sz w:val="24"/>
                <w:szCs w:val="24"/>
                <w:lang w:eastAsia="zh-CN"/>
              </w:rPr>
              <w:t>编制培训指导</w:t>
            </w:r>
          </w:p>
        </w:tc>
        <w:tc>
          <w:tcPr>
            <w:tcW w:w="4513" w:type="dxa"/>
            <w:tcBorders>
              <w:top w:val="single" w:color="auto" w:sz="4" w:space="0"/>
              <w:left w:val="single" w:color="auto" w:sz="4" w:space="0"/>
              <w:bottom w:val="single" w:color="auto" w:sz="4" w:space="0"/>
              <w:right w:val="single" w:color="auto" w:sz="4" w:space="0"/>
            </w:tcBorders>
            <w:vAlign w:val="center"/>
          </w:tcPr>
          <w:p w14:paraId="4D4F94AA">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针对各参赛团队提供的教案、人才培养方案，组织国赛专家与省/国赛赛项方案内容逐项对比。针对赛项中的内容、要求，为课程参赛团队开展专项解读，对文件内容合规性、文件内容完整性、文件图表准确性、文件整体逻辑性等内容，根据赛项要求，说明问题描述并给出明确的修改建议。</w:t>
            </w:r>
          </w:p>
        </w:tc>
        <w:tc>
          <w:tcPr>
            <w:tcW w:w="846" w:type="dxa"/>
            <w:tcBorders>
              <w:top w:val="single" w:color="auto" w:sz="4" w:space="0"/>
              <w:left w:val="single" w:color="auto" w:sz="4" w:space="0"/>
              <w:bottom w:val="single" w:color="auto" w:sz="4" w:space="0"/>
              <w:right w:val="single" w:color="auto" w:sz="4" w:space="0"/>
            </w:tcBorders>
            <w:vAlign w:val="center"/>
          </w:tcPr>
          <w:p w14:paraId="34B0B4DF">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12</w:t>
            </w:r>
          </w:p>
        </w:tc>
        <w:tc>
          <w:tcPr>
            <w:tcW w:w="818" w:type="dxa"/>
            <w:tcBorders>
              <w:top w:val="single" w:color="auto" w:sz="4" w:space="0"/>
              <w:left w:val="single" w:color="auto" w:sz="4" w:space="0"/>
              <w:bottom w:val="single" w:color="auto" w:sz="4" w:space="0"/>
              <w:right w:val="single" w:color="auto" w:sz="4" w:space="0"/>
            </w:tcBorders>
            <w:vAlign w:val="center"/>
          </w:tcPr>
          <w:p w14:paraId="7904AB9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个</w:t>
            </w:r>
          </w:p>
        </w:tc>
        <w:tc>
          <w:tcPr>
            <w:tcW w:w="845" w:type="dxa"/>
            <w:tcBorders>
              <w:top w:val="single" w:color="auto" w:sz="4" w:space="0"/>
              <w:left w:val="single" w:color="auto" w:sz="4" w:space="0"/>
              <w:bottom w:val="single" w:color="auto" w:sz="4" w:space="0"/>
              <w:right w:val="single" w:color="auto" w:sz="4" w:space="0"/>
            </w:tcBorders>
            <w:vAlign w:val="center"/>
          </w:tcPr>
          <w:p w14:paraId="614B5DC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500</w:t>
            </w:r>
          </w:p>
        </w:tc>
        <w:tc>
          <w:tcPr>
            <w:tcW w:w="955" w:type="dxa"/>
            <w:tcBorders>
              <w:top w:val="single" w:color="auto" w:sz="4" w:space="0"/>
              <w:left w:val="single" w:color="auto" w:sz="4" w:space="0"/>
              <w:bottom w:val="single" w:color="auto" w:sz="4" w:space="0"/>
              <w:right w:val="single" w:color="auto" w:sz="4" w:space="0"/>
            </w:tcBorders>
            <w:vAlign w:val="center"/>
          </w:tcPr>
          <w:p w14:paraId="3061A75A">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6000</w:t>
            </w:r>
          </w:p>
        </w:tc>
      </w:tr>
      <w:tr w14:paraId="1BF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09B0CDF8">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296" w:type="dxa"/>
            <w:tcBorders>
              <w:top w:val="single" w:color="auto" w:sz="4" w:space="0"/>
              <w:left w:val="single" w:color="auto" w:sz="4" w:space="0"/>
              <w:bottom w:val="single" w:color="auto" w:sz="4" w:space="0"/>
              <w:right w:val="single" w:color="auto" w:sz="4" w:space="0"/>
            </w:tcBorders>
            <w:vAlign w:val="center"/>
          </w:tcPr>
          <w:p w14:paraId="440AF329">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shd w:val="clear" w:color="auto" w:fill="FFFFFF"/>
              </w:rPr>
              <w:t>实施报告编写</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676EED6A">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针对各参赛团队提供的实施报告与课程设计，组织国赛专家与省/国赛赛项方案内容逐项对比。针对赛项中的内容、要求，为课程参赛团队开展专项解读，对文件内容合规性、文件内容完整性、文件图表准确性、文件整体逻辑性等内容，根据赛项要求，说明问题描述并给出明确的修改建议。要求：</w:t>
            </w:r>
          </w:p>
          <w:p w14:paraId="561A03C1">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r>
              <w:rPr>
                <w:rFonts w:hint="default" w:ascii="仿宋_GB2312" w:hAnsi="仿宋_GB2312" w:eastAsia="仿宋_GB2312" w:cs="仿宋_GB2312"/>
                <w:bCs/>
                <w:sz w:val="24"/>
                <w:szCs w:val="24"/>
                <w:lang w:val="en-US" w:eastAsia="zh-CN"/>
              </w:rPr>
              <w:t>有机融入思想政治教育元素，落实课程思政要求，及时反应相关领域产业升级的新技术、新工艺、新规范。结合课程特点有机融入劳动教育内容。</w:t>
            </w:r>
          </w:p>
          <w:p w14:paraId="4D83A923">
            <w:pPr>
              <w:spacing w:line="380" w:lineRule="exact"/>
              <w:ind w:right="-57" w:rightChars="-27"/>
              <w:jc w:val="left"/>
              <w:rPr>
                <w:rFonts w:hint="default" w:ascii="仿宋_GB2312" w:hAnsi="仿宋_GB2312" w:eastAsia="仿宋_GB2312" w:cs="仿宋_GB2312"/>
                <w:bCs/>
                <w:sz w:val="24"/>
                <w:szCs w:val="24"/>
                <w:lang w:val="en-US" w:eastAsia="zh-CN"/>
              </w:rPr>
            </w:pPr>
            <w:r>
              <w:rPr>
                <w:rFonts w:hint="default" w:ascii="仿宋_GB2312" w:hAnsi="仿宋_GB2312" w:eastAsia="仿宋_GB2312" w:cs="仿宋_GB2312"/>
                <w:bCs/>
                <w:sz w:val="24"/>
                <w:szCs w:val="24"/>
                <w:lang w:val="en-US" w:eastAsia="zh-CN"/>
              </w:rPr>
              <w:t>2.开展劳动精神、劳模精神、工匠精神专题教育。针对基于职业工作过程建设模块化课程的需求，优化教学内容。</w:t>
            </w:r>
          </w:p>
        </w:tc>
        <w:tc>
          <w:tcPr>
            <w:tcW w:w="846" w:type="dxa"/>
            <w:tcBorders>
              <w:top w:val="single" w:color="auto" w:sz="4" w:space="0"/>
              <w:left w:val="single" w:color="auto" w:sz="4" w:space="0"/>
              <w:bottom w:val="single" w:color="auto" w:sz="4" w:space="0"/>
              <w:right w:val="single" w:color="auto" w:sz="4" w:space="0"/>
            </w:tcBorders>
            <w:vAlign w:val="center"/>
          </w:tcPr>
          <w:p w14:paraId="70E54108">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7BE710EB">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021D3F63">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10000</w:t>
            </w:r>
          </w:p>
        </w:tc>
        <w:tc>
          <w:tcPr>
            <w:tcW w:w="955" w:type="dxa"/>
            <w:tcBorders>
              <w:top w:val="single" w:color="auto" w:sz="4" w:space="0"/>
              <w:left w:val="single" w:color="auto" w:sz="4" w:space="0"/>
              <w:bottom w:val="single" w:color="auto" w:sz="4" w:space="0"/>
              <w:right w:val="single" w:color="auto" w:sz="4" w:space="0"/>
            </w:tcBorders>
            <w:vAlign w:val="center"/>
          </w:tcPr>
          <w:p w14:paraId="5B5D37B2">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40000</w:t>
            </w:r>
          </w:p>
        </w:tc>
      </w:tr>
      <w:tr w14:paraId="4E6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61CAE261">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296" w:type="dxa"/>
            <w:tcBorders>
              <w:top w:val="single" w:color="auto" w:sz="4" w:space="0"/>
              <w:left w:val="single" w:color="auto" w:sz="4" w:space="0"/>
              <w:bottom w:val="single" w:color="auto" w:sz="4" w:space="0"/>
              <w:right w:val="single" w:color="auto" w:sz="4" w:space="0"/>
            </w:tcBorders>
            <w:vAlign w:val="center"/>
          </w:tcPr>
          <w:p w14:paraId="201A7DFA">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shd w:val="clear" w:color="auto" w:fill="FFFFFF"/>
              </w:rPr>
              <w:t>教案设计编写</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67494AB3">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针对各参赛团队提供的教案设计，组织国赛专家与省/国赛赛项方案内容逐项对比。针对赛项中的内容、要求，为课程参赛团队开展专项解读，对文件内容合规性、文件内容完整性、文件图表准确性、文件整体逻辑性等内容，根据赛项要求，说明问题描述并给出明确的修改建议。要求：</w:t>
            </w:r>
          </w:p>
          <w:p w14:paraId="293FBA09">
            <w:p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r>
              <w:rPr>
                <w:rFonts w:hint="default" w:ascii="仿宋_GB2312" w:hAnsi="仿宋_GB2312" w:eastAsia="仿宋_GB2312" w:cs="仿宋_GB2312"/>
                <w:bCs/>
                <w:sz w:val="24"/>
                <w:szCs w:val="24"/>
                <w:lang w:val="en-US" w:eastAsia="zh-CN"/>
              </w:rPr>
              <w:t>有机融入思想政治教育元素，落实课程思政要求，及时反应相关领域产业升级的新技术、新工艺、新规范。结合课程特点有机融入劳动教育内容。</w:t>
            </w:r>
          </w:p>
          <w:p w14:paraId="2F10C7FD">
            <w:pPr>
              <w:spacing w:line="380" w:lineRule="exact"/>
              <w:ind w:right="-57" w:rightChars="-27"/>
              <w:jc w:val="left"/>
              <w:rPr>
                <w:rFonts w:hint="eastAsia" w:ascii="仿宋_GB2312" w:hAnsi="仿宋_GB2312" w:eastAsia="仿宋_GB2312" w:cs="仿宋_GB2312"/>
                <w:bCs/>
                <w:sz w:val="24"/>
                <w:szCs w:val="24"/>
              </w:rPr>
            </w:pPr>
            <w:r>
              <w:rPr>
                <w:rFonts w:hint="default" w:ascii="仿宋_GB2312" w:hAnsi="仿宋_GB2312" w:eastAsia="仿宋_GB2312" w:cs="仿宋_GB2312"/>
                <w:bCs/>
                <w:sz w:val="24"/>
                <w:szCs w:val="24"/>
                <w:lang w:val="en-US" w:eastAsia="zh-CN"/>
              </w:rPr>
              <w:t>2.开展劳动精神、劳模精神、工匠精神专题教育。针对基于职业工作过程建设模块化课程的需求，优化教学内容。</w:t>
            </w:r>
          </w:p>
        </w:tc>
        <w:tc>
          <w:tcPr>
            <w:tcW w:w="846" w:type="dxa"/>
            <w:tcBorders>
              <w:top w:val="single" w:color="auto" w:sz="4" w:space="0"/>
              <w:left w:val="single" w:color="auto" w:sz="4" w:space="0"/>
              <w:bottom w:val="single" w:color="auto" w:sz="4" w:space="0"/>
              <w:right w:val="single" w:color="auto" w:sz="4" w:space="0"/>
            </w:tcBorders>
            <w:vAlign w:val="center"/>
          </w:tcPr>
          <w:p w14:paraId="1BA9A7DA">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16</w:t>
            </w:r>
          </w:p>
        </w:tc>
        <w:tc>
          <w:tcPr>
            <w:tcW w:w="818" w:type="dxa"/>
            <w:tcBorders>
              <w:top w:val="single" w:color="auto" w:sz="4" w:space="0"/>
              <w:left w:val="single" w:color="auto" w:sz="4" w:space="0"/>
              <w:bottom w:val="single" w:color="auto" w:sz="4" w:space="0"/>
              <w:right w:val="single" w:color="auto" w:sz="4" w:space="0"/>
            </w:tcBorders>
            <w:vAlign w:val="center"/>
          </w:tcPr>
          <w:p w14:paraId="583AA751">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个</w:t>
            </w:r>
          </w:p>
        </w:tc>
        <w:tc>
          <w:tcPr>
            <w:tcW w:w="845" w:type="dxa"/>
            <w:tcBorders>
              <w:top w:val="single" w:color="auto" w:sz="4" w:space="0"/>
              <w:left w:val="single" w:color="auto" w:sz="4" w:space="0"/>
              <w:bottom w:val="single" w:color="auto" w:sz="4" w:space="0"/>
              <w:right w:val="single" w:color="auto" w:sz="4" w:space="0"/>
            </w:tcBorders>
            <w:vAlign w:val="center"/>
          </w:tcPr>
          <w:p w14:paraId="53B947C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2000</w:t>
            </w:r>
          </w:p>
        </w:tc>
        <w:tc>
          <w:tcPr>
            <w:tcW w:w="955" w:type="dxa"/>
            <w:tcBorders>
              <w:top w:val="single" w:color="auto" w:sz="4" w:space="0"/>
              <w:left w:val="single" w:color="auto" w:sz="4" w:space="0"/>
              <w:bottom w:val="single" w:color="auto" w:sz="4" w:space="0"/>
              <w:right w:val="single" w:color="auto" w:sz="4" w:space="0"/>
            </w:tcBorders>
            <w:vAlign w:val="center"/>
          </w:tcPr>
          <w:p w14:paraId="04FF1934">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32000</w:t>
            </w:r>
          </w:p>
        </w:tc>
      </w:tr>
      <w:tr w14:paraId="626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228AEE9D">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296" w:type="dxa"/>
            <w:tcBorders>
              <w:top w:val="single" w:color="auto" w:sz="4" w:space="0"/>
              <w:left w:val="single" w:color="auto" w:sz="4" w:space="0"/>
              <w:bottom w:val="single" w:color="auto" w:sz="4" w:space="0"/>
              <w:right w:val="single" w:color="auto" w:sz="4" w:space="0"/>
            </w:tcBorders>
            <w:vAlign w:val="center"/>
          </w:tcPr>
          <w:p w14:paraId="5ED34AD5">
            <w:pPr>
              <w:spacing w:line="380" w:lineRule="exact"/>
              <w:ind w:right="-57" w:rightChars="-27"/>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color w:val="000000"/>
                <w:kern w:val="0"/>
                <w:sz w:val="24"/>
                <w:szCs w:val="24"/>
                <w:shd w:val="clear" w:color="auto" w:fill="FFFFFF"/>
              </w:rPr>
              <w:t>参赛视频拍摄</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lang w:val="en-US" w:eastAsia="zh-CN"/>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21A9DCBE">
            <w:pPr>
              <w:numPr>
                <w:ilvl w:val="0"/>
                <w:numId w:val="2"/>
              </w:numPr>
              <w:spacing w:line="380" w:lineRule="exact"/>
              <w:ind w:right="-57" w:rightChars="-27"/>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专家</w:t>
            </w:r>
            <w:r>
              <w:rPr>
                <w:rFonts w:hint="eastAsia" w:ascii="仿宋_GB2312" w:hAnsi="仿宋_GB2312" w:eastAsia="仿宋_GB2312" w:cs="仿宋_GB2312"/>
                <w:bCs/>
                <w:sz w:val="24"/>
                <w:szCs w:val="24"/>
              </w:rPr>
              <w:t>对参赛视频进行现场指导，每组作品现场指导</w:t>
            </w:r>
            <w:r>
              <w:rPr>
                <w:rFonts w:hint="eastAsia" w:ascii="仿宋_GB2312" w:hAnsi="仿宋_GB2312" w:eastAsia="仿宋_GB2312" w:cs="仿宋_GB2312"/>
                <w:bCs/>
                <w:sz w:val="24"/>
                <w:szCs w:val="24"/>
                <w:lang w:val="en-US" w:eastAsia="zh-CN"/>
              </w:rPr>
              <w:t>不少于</w:t>
            </w:r>
            <w:r>
              <w:rPr>
                <w:rFonts w:hint="eastAsia" w:ascii="仿宋_GB2312" w:hAnsi="仿宋_GB2312" w:eastAsia="仿宋_GB2312" w:cs="仿宋_GB2312"/>
                <w:bCs/>
                <w:sz w:val="24"/>
                <w:szCs w:val="24"/>
              </w:rPr>
              <w:t>1天，包括场地布置、师生仪表、镜头运用等。</w:t>
            </w:r>
          </w:p>
          <w:p w14:paraId="3356F832">
            <w:pPr>
              <w:numPr>
                <w:ilvl w:val="0"/>
                <w:numId w:val="2"/>
              </w:numPr>
              <w:spacing w:line="380" w:lineRule="exact"/>
              <w:ind w:right="-57" w:rightChars="-27"/>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每个团队</w:t>
            </w:r>
            <w:r>
              <w:rPr>
                <w:rFonts w:hint="eastAsia" w:ascii="仿宋_GB2312" w:hAnsi="仿宋_GB2312" w:eastAsia="仿宋_GB2312" w:cs="仿宋_GB2312"/>
                <w:bCs/>
                <w:sz w:val="24"/>
                <w:szCs w:val="24"/>
              </w:rPr>
              <w:t>配备一名</w:t>
            </w:r>
            <w:r>
              <w:rPr>
                <w:rFonts w:hint="eastAsia" w:ascii="仿宋_GB2312" w:hAnsi="仿宋_GB2312" w:eastAsia="仿宋_GB2312" w:cs="仿宋_GB2312"/>
                <w:bCs/>
                <w:sz w:val="24"/>
                <w:szCs w:val="24"/>
                <w:lang w:eastAsia="zh-CN"/>
              </w:rPr>
              <w:t>不少于1名</w:t>
            </w:r>
            <w:r>
              <w:rPr>
                <w:rFonts w:hint="eastAsia" w:ascii="仿宋_GB2312" w:hAnsi="仿宋_GB2312" w:eastAsia="仿宋_GB2312" w:cs="仿宋_GB2312"/>
                <w:bCs/>
                <w:sz w:val="24"/>
                <w:szCs w:val="24"/>
                <w:lang w:val="en-US" w:eastAsia="zh-CN"/>
              </w:rPr>
              <w:t>工程师</w:t>
            </w:r>
            <w:r>
              <w:rPr>
                <w:rFonts w:hint="eastAsia" w:ascii="仿宋_GB2312" w:hAnsi="仿宋_GB2312" w:eastAsia="仿宋_GB2312" w:cs="仿宋_GB2312"/>
                <w:bCs/>
                <w:sz w:val="24"/>
                <w:szCs w:val="24"/>
              </w:rPr>
              <w:t>全程跟踪对接</w:t>
            </w:r>
            <w:r>
              <w:rPr>
                <w:rFonts w:hint="eastAsia" w:ascii="仿宋_GB2312" w:hAnsi="仿宋_GB2312" w:eastAsia="仿宋_GB2312" w:cs="仿宋_GB2312"/>
                <w:bCs/>
                <w:sz w:val="24"/>
                <w:szCs w:val="24"/>
                <w:lang w:eastAsia="zh-CN"/>
              </w:rPr>
              <w:t>指导视频拍摄</w:t>
            </w:r>
            <w:r>
              <w:rPr>
                <w:rFonts w:hint="eastAsia" w:ascii="仿宋_GB2312" w:hAnsi="仿宋_GB2312" w:eastAsia="仿宋_GB2312" w:cs="仿宋_GB2312"/>
                <w:bCs/>
                <w:sz w:val="24"/>
                <w:szCs w:val="24"/>
              </w:rPr>
              <w:t>工作，</w:t>
            </w:r>
            <w:r>
              <w:rPr>
                <w:rFonts w:hint="eastAsia" w:ascii="仿宋_GB2312" w:hAnsi="仿宋_GB2312" w:eastAsia="仿宋_GB2312" w:cs="仿宋_GB2312"/>
                <w:bCs/>
                <w:sz w:val="24"/>
                <w:szCs w:val="24"/>
                <w:lang w:eastAsia="zh-CN"/>
              </w:rPr>
              <w:t>与</w:t>
            </w:r>
            <w:r>
              <w:rPr>
                <w:rFonts w:hint="eastAsia" w:ascii="仿宋_GB2312" w:hAnsi="仿宋_GB2312" w:eastAsia="仿宋_GB2312" w:cs="仿宋_GB2312"/>
                <w:bCs/>
                <w:sz w:val="24"/>
                <w:szCs w:val="24"/>
              </w:rPr>
              <w:t>老师沟通需要准备的材料、协助</w:t>
            </w:r>
            <w:r>
              <w:rPr>
                <w:rFonts w:hint="eastAsia" w:ascii="仿宋_GB2312" w:hAnsi="仿宋_GB2312" w:eastAsia="仿宋_GB2312" w:cs="仿宋_GB2312"/>
                <w:bCs/>
                <w:sz w:val="24"/>
                <w:szCs w:val="24"/>
                <w:lang w:eastAsia="zh-CN"/>
              </w:rPr>
              <w:t>教师团队完成</w:t>
            </w:r>
            <w:r>
              <w:rPr>
                <w:rFonts w:hint="eastAsia" w:ascii="仿宋_GB2312" w:hAnsi="仿宋_GB2312" w:eastAsia="仿宋_GB2312" w:cs="仿宋_GB2312"/>
                <w:bCs/>
                <w:sz w:val="24"/>
                <w:szCs w:val="24"/>
              </w:rPr>
              <w:t>进行作品脚本设计、拍摄环境的选择、拍摄过程的记录、文档资料的整理、相关课件优化设计等工作。</w:t>
            </w:r>
          </w:p>
          <w:p w14:paraId="4D54F5F1">
            <w:pPr>
              <w:numPr>
                <w:ilvl w:val="0"/>
                <w:numId w:val="2"/>
              </w:numPr>
              <w:spacing w:line="380" w:lineRule="exact"/>
              <w:ind w:right="-57" w:rightChars="-27"/>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指导教师团队拍摄每成员</w:t>
            </w:r>
            <w:r>
              <w:rPr>
                <w:rFonts w:hint="eastAsia" w:ascii="仿宋_GB2312" w:hAnsi="仿宋_GB2312" w:eastAsia="仿宋_GB2312" w:cs="仿宋_GB2312"/>
                <w:bCs/>
                <w:sz w:val="24"/>
                <w:szCs w:val="24"/>
              </w:rPr>
              <w:t>不少于1段</w:t>
            </w:r>
            <w:r>
              <w:rPr>
                <w:rFonts w:hint="eastAsia" w:ascii="仿宋_GB2312" w:hAnsi="仿宋_GB2312" w:eastAsia="仿宋_GB2312" w:cs="仿宋_GB2312"/>
                <w:bCs/>
                <w:sz w:val="24"/>
                <w:szCs w:val="24"/>
                <w:lang w:val="en-US" w:eastAsia="zh-CN"/>
              </w:rPr>
              <w:t>视频展示</w:t>
            </w:r>
            <w:r>
              <w:rPr>
                <w:rFonts w:hint="eastAsia" w:ascii="仿宋_GB2312" w:hAnsi="仿宋_GB2312" w:eastAsia="仿宋_GB2312" w:cs="仿宋_GB2312"/>
                <w:bCs/>
                <w:sz w:val="24"/>
                <w:szCs w:val="24"/>
              </w:rPr>
              <w:t>。课堂实录视频每段45分钟左右；每段视频可自行选择教学场景，应分别完整、清晰地呈现参赛作品中内容相对独立完整、课程属性特质鲜明、反映团队成员教学风格的教学活动实况。</w:t>
            </w:r>
            <w:r>
              <w:rPr>
                <w:rFonts w:hint="eastAsia" w:ascii="仿宋_GB2312" w:hAnsi="仿宋_GB2312" w:eastAsia="仿宋_GB2312" w:cs="仿宋_GB2312"/>
                <w:bCs/>
                <w:sz w:val="24"/>
                <w:szCs w:val="24"/>
                <w:lang w:eastAsia="zh-CN"/>
              </w:rPr>
              <w:t>指导</w:t>
            </w:r>
            <w:r>
              <w:rPr>
                <w:rFonts w:hint="eastAsia" w:ascii="仿宋_GB2312" w:hAnsi="仿宋_GB2312" w:eastAsia="仿宋_GB2312" w:cs="仿宋_GB2312"/>
                <w:bCs/>
                <w:sz w:val="24"/>
                <w:szCs w:val="24"/>
              </w:rPr>
              <w:t>专业课程二组参赛</w:t>
            </w:r>
            <w:r>
              <w:rPr>
                <w:rFonts w:hint="eastAsia" w:ascii="仿宋_GB2312" w:hAnsi="仿宋_GB2312" w:eastAsia="仿宋_GB2312" w:cs="仿宋_GB2312"/>
                <w:bCs/>
                <w:sz w:val="24"/>
                <w:szCs w:val="24"/>
                <w:lang w:eastAsia="zh-CN"/>
              </w:rPr>
              <w:t>团队完成</w:t>
            </w:r>
            <w:r>
              <w:rPr>
                <w:rFonts w:hint="eastAsia" w:ascii="仿宋_GB2312" w:hAnsi="仿宋_GB2312" w:eastAsia="仿宋_GB2312" w:cs="仿宋_GB2312"/>
                <w:bCs/>
                <w:sz w:val="24"/>
                <w:szCs w:val="24"/>
              </w:rPr>
              <w:t>不少于2段反映团队成员关键技术技能教学操作与示范的教学实况</w:t>
            </w:r>
            <w:r>
              <w:rPr>
                <w:rFonts w:hint="eastAsia" w:ascii="仿宋_GB2312" w:hAnsi="仿宋_GB2312" w:eastAsia="仿宋_GB2312" w:cs="仿宋_GB2312"/>
                <w:bCs/>
                <w:sz w:val="24"/>
                <w:szCs w:val="24"/>
                <w:lang w:eastAsia="zh-CN"/>
              </w:rPr>
              <w:t>视频拍摄</w:t>
            </w:r>
            <w:r>
              <w:rPr>
                <w:rFonts w:hint="eastAsia" w:ascii="仿宋_GB2312" w:hAnsi="仿宋_GB2312" w:eastAsia="仿宋_GB2312" w:cs="仿宋_GB2312"/>
                <w:bCs/>
                <w:sz w:val="24"/>
                <w:szCs w:val="24"/>
              </w:rPr>
              <w:t>。</w:t>
            </w:r>
          </w:p>
        </w:tc>
        <w:tc>
          <w:tcPr>
            <w:tcW w:w="846" w:type="dxa"/>
            <w:tcBorders>
              <w:top w:val="single" w:color="auto" w:sz="4" w:space="0"/>
              <w:left w:val="single" w:color="auto" w:sz="4" w:space="0"/>
              <w:bottom w:val="single" w:color="auto" w:sz="4" w:space="0"/>
              <w:right w:val="single" w:color="auto" w:sz="4" w:space="0"/>
            </w:tcBorders>
            <w:vAlign w:val="center"/>
          </w:tcPr>
          <w:p w14:paraId="78B92461">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16</w:t>
            </w:r>
          </w:p>
        </w:tc>
        <w:tc>
          <w:tcPr>
            <w:tcW w:w="818" w:type="dxa"/>
            <w:tcBorders>
              <w:top w:val="single" w:color="auto" w:sz="4" w:space="0"/>
              <w:left w:val="single" w:color="auto" w:sz="4" w:space="0"/>
              <w:bottom w:val="single" w:color="auto" w:sz="4" w:space="0"/>
              <w:right w:val="single" w:color="auto" w:sz="4" w:space="0"/>
            </w:tcBorders>
            <w:vAlign w:val="center"/>
          </w:tcPr>
          <w:p w14:paraId="1E3609D3">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个</w:t>
            </w:r>
          </w:p>
        </w:tc>
        <w:tc>
          <w:tcPr>
            <w:tcW w:w="845" w:type="dxa"/>
            <w:tcBorders>
              <w:top w:val="single" w:color="auto" w:sz="4" w:space="0"/>
              <w:left w:val="single" w:color="auto" w:sz="4" w:space="0"/>
              <w:bottom w:val="single" w:color="auto" w:sz="4" w:space="0"/>
              <w:right w:val="single" w:color="auto" w:sz="4" w:space="0"/>
            </w:tcBorders>
            <w:vAlign w:val="center"/>
          </w:tcPr>
          <w:p w14:paraId="1260DC83">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3000</w:t>
            </w:r>
          </w:p>
        </w:tc>
        <w:tc>
          <w:tcPr>
            <w:tcW w:w="955" w:type="dxa"/>
            <w:tcBorders>
              <w:top w:val="single" w:color="auto" w:sz="4" w:space="0"/>
              <w:left w:val="single" w:color="auto" w:sz="4" w:space="0"/>
              <w:bottom w:val="single" w:color="auto" w:sz="4" w:space="0"/>
              <w:right w:val="single" w:color="auto" w:sz="4" w:space="0"/>
            </w:tcBorders>
            <w:vAlign w:val="center"/>
          </w:tcPr>
          <w:p w14:paraId="2C659FAC">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48000</w:t>
            </w:r>
          </w:p>
        </w:tc>
      </w:tr>
      <w:tr w14:paraId="3F3E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3E3C4856">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1296" w:type="dxa"/>
            <w:tcBorders>
              <w:top w:val="single" w:color="auto" w:sz="4" w:space="0"/>
              <w:left w:val="single" w:color="auto" w:sz="4" w:space="0"/>
              <w:bottom w:val="single" w:color="auto" w:sz="4" w:space="0"/>
              <w:right w:val="single" w:color="auto" w:sz="4" w:space="0"/>
            </w:tcBorders>
            <w:vAlign w:val="center"/>
          </w:tcPr>
          <w:p w14:paraId="526F9D9E">
            <w:pPr>
              <w:spacing w:line="380" w:lineRule="exact"/>
              <w:ind w:right="-57" w:rightChars="-27"/>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kern w:val="0"/>
                <w:sz w:val="24"/>
                <w:szCs w:val="24"/>
                <w:shd w:val="clear" w:color="auto" w:fill="FFFFFF"/>
              </w:rPr>
              <w:t>课程素材制作</w:t>
            </w:r>
            <w:r>
              <w:rPr>
                <w:rFonts w:hint="eastAsia" w:ascii="仿宋_GB2312" w:hAnsi="仿宋_GB2312" w:eastAsia="仿宋_GB2312" w:cs="仿宋_GB2312"/>
                <w:color w:val="000000"/>
                <w:kern w:val="0"/>
                <w:sz w:val="24"/>
                <w:szCs w:val="24"/>
                <w:shd w:val="clear" w:color="auto" w:fill="FFFFFF"/>
                <w:lang w:eastAsia="zh-CN"/>
              </w:rPr>
              <w:t>培训</w:t>
            </w:r>
            <w:r>
              <w:rPr>
                <w:rFonts w:hint="eastAsia" w:ascii="仿宋_GB2312" w:hAnsi="仿宋_GB2312" w:eastAsia="仿宋_GB2312" w:cs="仿宋_GB2312"/>
                <w:color w:val="000000"/>
                <w:kern w:val="0"/>
                <w:sz w:val="24"/>
                <w:szCs w:val="24"/>
                <w:shd w:val="clear" w:color="auto" w:fill="FFFFFF"/>
                <w:lang w:val="en-US" w:eastAsia="zh-CN"/>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5261B08A">
            <w:pPr>
              <w:numPr>
                <w:ilvl w:val="0"/>
                <w:numId w:val="3"/>
              </w:numPr>
              <w:spacing w:line="380" w:lineRule="exact"/>
              <w:ind w:right="-57" w:rightChars="-27"/>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依据专业特点，配合教学环节，指导设计PPT模板视觉效果，包括首页、内页设计；要求版式设计独特、新颖、颜色统一，具有专业特色。</w:t>
            </w:r>
          </w:p>
          <w:p w14:paraId="73B99824">
            <w:pPr>
              <w:numPr>
                <w:ilvl w:val="0"/>
                <w:numId w:val="3"/>
              </w:numPr>
              <w:spacing w:line="380" w:lineRule="exact"/>
              <w:ind w:right="-57" w:rightChars="-27"/>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指导各团队的每门课程完成1套教学实施报告课件设计，</w:t>
            </w:r>
            <w:r>
              <w:rPr>
                <w:rFonts w:hint="eastAsia" w:ascii="仿宋_GB2312" w:hAnsi="仿宋_GB2312" w:eastAsia="仿宋_GB2312" w:cs="仿宋_GB2312"/>
                <w:bCs/>
                <w:sz w:val="24"/>
                <w:szCs w:val="24"/>
              </w:rPr>
              <w:t>包括整体教学设计、教学实施过程、学生学习效果和教学反思措施等；教学过程涉及需要展示的教学活动</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课件层次清晰、合理，配色和内容相协调。</w:t>
            </w:r>
          </w:p>
          <w:p w14:paraId="645E5B7E">
            <w:pPr>
              <w:numPr>
                <w:ilvl w:val="0"/>
                <w:numId w:val="3"/>
              </w:numPr>
              <w:spacing w:line="380" w:lineRule="exact"/>
              <w:ind w:right="-57" w:rightChars="-27"/>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指导各团队的</w:t>
            </w:r>
            <w:r>
              <w:rPr>
                <w:rFonts w:hint="eastAsia" w:ascii="仿宋_GB2312" w:hAnsi="仿宋_GB2312" w:eastAsia="仿宋_GB2312" w:cs="仿宋_GB2312"/>
                <w:bCs/>
                <w:sz w:val="24"/>
                <w:szCs w:val="24"/>
              </w:rPr>
              <w:t>每门课程</w:t>
            </w:r>
            <w:r>
              <w:rPr>
                <w:rFonts w:hint="eastAsia" w:ascii="仿宋_GB2312" w:hAnsi="仿宋_GB2312" w:eastAsia="仿宋_GB2312" w:cs="仿宋_GB2312"/>
                <w:bCs/>
                <w:sz w:val="24"/>
                <w:szCs w:val="24"/>
                <w:lang w:eastAsia="zh-CN"/>
              </w:rPr>
              <w:t>完成</w:t>
            </w:r>
            <w:r>
              <w:rPr>
                <w:rFonts w:hint="eastAsia" w:ascii="仿宋_GB2312" w:hAnsi="仿宋_GB2312" w:eastAsia="仿宋_GB2312" w:cs="仿宋_GB2312"/>
                <w:bCs/>
                <w:sz w:val="24"/>
                <w:szCs w:val="24"/>
              </w:rPr>
              <w:t>至少1套教学课件</w:t>
            </w:r>
            <w:r>
              <w:rPr>
                <w:rFonts w:hint="eastAsia" w:ascii="仿宋_GB2312" w:hAnsi="仿宋_GB2312" w:eastAsia="仿宋_GB2312" w:cs="仿宋_GB2312"/>
                <w:bCs/>
                <w:sz w:val="24"/>
                <w:szCs w:val="24"/>
                <w:lang w:eastAsia="zh-CN"/>
              </w:rPr>
              <w:t>设计</w:t>
            </w:r>
            <w:r>
              <w:rPr>
                <w:rFonts w:hint="eastAsia" w:ascii="仿宋_GB2312" w:hAnsi="仿宋_GB2312" w:eastAsia="仿宋_GB2312" w:cs="仿宋_GB2312"/>
                <w:bCs/>
                <w:sz w:val="24"/>
                <w:szCs w:val="24"/>
              </w:rPr>
              <w:t>，课件</w:t>
            </w:r>
            <w:r>
              <w:rPr>
                <w:rFonts w:hint="eastAsia" w:ascii="仿宋_GB2312" w:hAnsi="仿宋_GB2312" w:eastAsia="仿宋_GB2312" w:cs="仿宋_GB2312"/>
                <w:bCs/>
                <w:sz w:val="24"/>
                <w:szCs w:val="24"/>
                <w:lang w:eastAsia="zh-CN"/>
              </w:rPr>
              <w:t>应做到美观、简洁，版式设计新颖，可视化效果好，</w:t>
            </w:r>
            <w:r>
              <w:rPr>
                <w:rFonts w:hint="eastAsia" w:ascii="仿宋_GB2312" w:hAnsi="仿宋_GB2312" w:eastAsia="仿宋_GB2312" w:cs="仿宋_GB2312"/>
                <w:bCs/>
                <w:sz w:val="24"/>
                <w:szCs w:val="24"/>
              </w:rPr>
              <w:t>与其他软件兼容性好，能够支持多平台进行演示，不因设备问题导致播放冲突。</w:t>
            </w:r>
          </w:p>
        </w:tc>
        <w:tc>
          <w:tcPr>
            <w:tcW w:w="846" w:type="dxa"/>
            <w:tcBorders>
              <w:top w:val="single" w:color="auto" w:sz="4" w:space="0"/>
              <w:left w:val="single" w:color="auto" w:sz="4" w:space="0"/>
              <w:bottom w:val="single" w:color="auto" w:sz="4" w:space="0"/>
              <w:right w:val="single" w:color="auto" w:sz="4" w:space="0"/>
            </w:tcBorders>
            <w:vAlign w:val="center"/>
          </w:tcPr>
          <w:p w14:paraId="32B2178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0DE29964">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454DE60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4500</w:t>
            </w:r>
          </w:p>
        </w:tc>
        <w:tc>
          <w:tcPr>
            <w:tcW w:w="955" w:type="dxa"/>
            <w:tcBorders>
              <w:top w:val="single" w:color="auto" w:sz="4" w:space="0"/>
              <w:left w:val="single" w:color="auto" w:sz="4" w:space="0"/>
              <w:bottom w:val="single" w:color="auto" w:sz="4" w:space="0"/>
              <w:right w:val="single" w:color="auto" w:sz="4" w:space="0"/>
            </w:tcBorders>
            <w:vAlign w:val="center"/>
          </w:tcPr>
          <w:p w14:paraId="73FED289">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18000</w:t>
            </w:r>
          </w:p>
        </w:tc>
      </w:tr>
      <w:tr w14:paraId="70E8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64D9785E">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w:t>
            </w:r>
          </w:p>
        </w:tc>
        <w:tc>
          <w:tcPr>
            <w:tcW w:w="1296" w:type="dxa"/>
            <w:tcBorders>
              <w:top w:val="single" w:color="auto" w:sz="4" w:space="0"/>
              <w:left w:val="single" w:color="auto" w:sz="4" w:space="0"/>
              <w:bottom w:val="single" w:color="auto" w:sz="4" w:space="0"/>
              <w:right w:val="single" w:color="auto" w:sz="4" w:space="0"/>
            </w:tcBorders>
            <w:vAlign w:val="center"/>
          </w:tcPr>
          <w:p w14:paraId="39B914EA">
            <w:pPr>
              <w:spacing w:line="380" w:lineRule="exact"/>
              <w:ind w:right="-57" w:rightChars="-27"/>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sz w:val="24"/>
                <w:szCs w:val="24"/>
              </w:rPr>
              <w:t>教学平台搭建使用</w:t>
            </w:r>
            <w:r>
              <w:rPr>
                <w:rFonts w:hint="eastAsia" w:ascii="仿宋_GB2312" w:hAnsi="仿宋_GB2312" w:eastAsia="仿宋_GB2312" w:cs="仿宋_GB2312"/>
                <w:sz w:val="24"/>
                <w:szCs w:val="24"/>
                <w:lang w:eastAsia="zh-CN"/>
              </w:rPr>
              <w:t>培训</w:t>
            </w:r>
            <w:r>
              <w:rPr>
                <w:rFonts w:hint="eastAsia" w:ascii="仿宋_GB2312" w:hAnsi="仿宋_GB2312" w:eastAsia="仿宋_GB2312" w:cs="仿宋_GB2312"/>
                <w:sz w:val="24"/>
                <w:szCs w:val="24"/>
                <w:lang w:val="en-US" w:eastAsia="zh-CN"/>
              </w:rPr>
              <w:t>指导</w:t>
            </w:r>
          </w:p>
        </w:tc>
        <w:tc>
          <w:tcPr>
            <w:tcW w:w="4513" w:type="dxa"/>
            <w:tcBorders>
              <w:top w:val="single" w:color="auto" w:sz="4" w:space="0"/>
              <w:left w:val="single" w:color="auto" w:sz="4" w:space="0"/>
              <w:bottom w:val="single" w:color="auto" w:sz="4" w:space="0"/>
              <w:right w:val="single" w:color="auto" w:sz="4" w:space="0"/>
            </w:tcBorders>
            <w:vAlign w:val="center"/>
          </w:tcPr>
          <w:p w14:paraId="75610868">
            <w:pPr>
              <w:numPr>
                <w:ilvl w:val="0"/>
                <w:numId w:val="4"/>
              </w:numPr>
              <w:spacing w:line="380" w:lineRule="exact"/>
              <w:ind w:right="-57" w:rightChars="-27"/>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指导各团队教师使用在线教学平台完成教学活动设计，指导选用的教学平台应充分体现课堂在线教学、教师灵活备课、学生自主学习，学习过程管理，学习过程性评价、交流互动、教学资源建设与管理，课程制作与发布，统计分析及督学管理，基础数据及权限管理：为教学者提供灵活备课，每节课都可以自定义教学过程，任意安排丰富灵活的课堂活动；为学习者提供课程学习，师生互动，话题讨论，在线投票等多种学习体验，能够通过网络实现随时随地学习与交互。</w:t>
            </w:r>
          </w:p>
          <w:p w14:paraId="368313F7">
            <w:pPr>
              <w:numPr>
                <w:ilvl w:val="0"/>
                <w:numId w:val="4"/>
              </w:numPr>
              <w:spacing w:line="380" w:lineRule="exact"/>
              <w:ind w:right="-57" w:rightChars="-27"/>
              <w:jc w:val="left"/>
              <w:rPr>
                <w:rFonts w:hint="default" w:ascii="仿宋_GB2312" w:hAnsi="仿宋_GB2312" w:eastAsia="仿宋_GB2312" w:cs="仿宋_GB2312"/>
                <w:bCs/>
                <w:sz w:val="24"/>
                <w:szCs w:val="24"/>
                <w:lang w:val="en-US" w:eastAsia="zh-CN"/>
              </w:rPr>
            </w:pPr>
            <w:r>
              <w:rPr>
                <w:rFonts w:hint="default" w:ascii="仿宋_GB2312" w:hAnsi="仿宋_GB2312" w:eastAsia="仿宋_GB2312" w:cs="仿宋_GB2312"/>
                <w:bCs/>
                <w:sz w:val="24"/>
                <w:szCs w:val="24"/>
                <w:lang w:val="en-US" w:eastAsia="zh-CN"/>
              </w:rPr>
              <w:t>依据大赛要求，结合专业特点，</w:t>
            </w:r>
            <w:r>
              <w:rPr>
                <w:rFonts w:hint="eastAsia" w:ascii="仿宋_GB2312" w:hAnsi="仿宋_GB2312" w:eastAsia="仿宋_GB2312" w:cs="仿宋_GB2312"/>
                <w:bCs/>
                <w:sz w:val="24"/>
                <w:szCs w:val="24"/>
                <w:lang w:val="en-US" w:eastAsia="zh-CN"/>
              </w:rPr>
              <w:t>指导各教师团队根据</w:t>
            </w:r>
            <w:r>
              <w:rPr>
                <w:rFonts w:hint="default" w:ascii="仿宋_GB2312" w:hAnsi="仿宋_GB2312" w:eastAsia="仿宋_GB2312" w:cs="仿宋_GB2312"/>
                <w:bCs/>
                <w:sz w:val="24"/>
                <w:szCs w:val="24"/>
                <w:lang w:val="en-US" w:eastAsia="zh-CN"/>
              </w:rPr>
              <w:t>专业特色</w:t>
            </w:r>
            <w:r>
              <w:rPr>
                <w:rFonts w:hint="eastAsia" w:ascii="仿宋_GB2312" w:hAnsi="仿宋_GB2312" w:eastAsia="仿宋_GB2312" w:cs="仿宋_GB2312"/>
                <w:bCs/>
                <w:sz w:val="24"/>
                <w:szCs w:val="24"/>
                <w:lang w:val="en-US" w:eastAsia="zh-CN"/>
              </w:rPr>
              <w:t>搭建符合专业的</w:t>
            </w:r>
            <w:r>
              <w:rPr>
                <w:rFonts w:hint="default" w:ascii="仿宋_GB2312" w:hAnsi="仿宋_GB2312" w:eastAsia="仿宋_GB2312" w:cs="仿宋_GB2312"/>
                <w:bCs/>
                <w:sz w:val="24"/>
                <w:szCs w:val="24"/>
                <w:lang w:val="en-US" w:eastAsia="zh-CN"/>
              </w:rPr>
              <w:t>平台界面效果</w:t>
            </w:r>
            <w:r>
              <w:rPr>
                <w:rFonts w:hint="eastAsia" w:ascii="仿宋_GB2312" w:hAnsi="仿宋_GB2312" w:eastAsia="仿宋_GB2312" w:cs="仿宋_GB2312"/>
                <w:bCs/>
                <w:sz w:val="24"/>
                <w:szCs w:val="24"/>
                <w:lang w:val="en-US" w:eastAsia="zh-CN"/>
              </w:rPr>
              <w:t>，能够做到</w:t>
            </w:r>
            <w:r>
              <w:rPr>
                <w:rFonts w:hint="default" w:ascii="仿宋_GB2312" w:hAnsi="仿宋_GB2312" w:eastAsia="仿宋_GB2312" w:cs="仿宋_GB2312"/>
                <w:bCs/>
                <w:sz w:val="24"/>
                <w:szCs w:val="24"/>
                <w:lang w:val="en-US" w:eastAsia="zh-CN"/>
              </w:rPr>
              <w:t>功能模块完善</w:t>
            </w:r>
            <w:r>
              <w:rPr>
                <w:rFonts w:hint="eastAsia" w:ascii="仿宋_GB2312" w:hAnsi="仿宋_GB2312" w:eastAsia="仿宋_GB2312" w:cs="仿宋_GB2312"/>
                <w:bCs/>
                <w:sz w:val="24"/>
                <w:szCs w:val="24"/>
                <w:lang w:val="en-US" w:eastAsia="zh-CN"/>
              </w:rPr>
              <w:t>、</w:t>
            </w:r>
            <w:r>
              <w:rPr>
                <w:rFonts w:hint="default" w:ascii="仿宋_GB2312" w:hAnsi="仿宋_GB2312" w:eastAsia="仿宋_GB2312" w:cs="仿宋_GB2312"/>
                <w:bCs/>
                <w:sz w:val="24"/>
                <w:szCs w:val="24"/>
                <w:lang w:val="en-US" w:eastAsia="zh-CN"/>
              </w:rPr>
              <w:t>色彩美观</w:t>
            </w:r>
            <w:r>
              <w:rPr>
                <w:rFonts w:hint="eastAsia" w:ascii="仿宋_GB2312" w:hAnsi="仿宋_GB2312" w:eastAsia="仿宋_GB2312" w:cs="仿宋_GB2312"/>
                <w:bCs/>
                <w:sz w:val="24"/>
                <w:szCs w:val="24"/>
                <w:lang w:val="en-US" w:eastAsia="zh-CN"/>
              </w:rPr>
              <w:t>、</w:t>
            </w:r>
            <w:r>
              <w:rPr>
                <w:rFonts w:hint="default" w:ascii="仿宋_GB2312" w:hAnsi="仿宋_GB2312" w:eastAsia="仿宋_GB2312" w:cs="仿宋_GB2312"/>
                <w:bCs/>
                <w:sz w:val="24"/>
                <w:szCs w:val="24"/>
                <w:lang w:val="en-US" w:eastAsia="zh-CN"/>
              </w:rPr>
              <w:t>重点模块突出</w:t>
            </w:r>
            <w:r>
              <w:rPr>
                <w:rFonts w:hint="eastAsia" w:ascii="仿宋_GB2312" w:hAnsi="仿宋_GB2312" w:eastAsia="仿宋_GB2312" w:cs="仿宋_GB2312"/>
                <w:bCs/>
                <w:sz w:val="24"/>
                <w:szCs w:val="24"/>
                <w:lang w:val="en-US" w:eastAsia="zh-CN"/>
              </w:rPr>
              <w:t>、</w:t>
            </w:r>
            <w:r>
              <w:rPr>
                <w:rFonts w:hint="default" w:ascii="仿宋_GB2312" w:hAnsi="仿宋_GB2312" w:eastAsia="仿宋_GB2312" w:cs="仿宋_GB2312"/>
                <w:bCs/>
                <w:sz w:val="24"/>
                <w:szCs w:val="24"/>
                <w:lang w:val="en-US" w:eastAsia="zh-CN"/>
              </w:rPr>
              <w:t>友好的用户体验界面设计</w:t>
            </w:r>
            <w:r>
              <w:rPr>
                <w:rFonts w:hint="eastAsia" w:ascii="仿宋_GB2312" w:hAnsi="仿宋_GB2312" w:eastAsia="仿宋_GB2312" w:cs="仿宋_GB2312"/>
                <w:bCs/>
                <w:sz w:val="24"/>
                <w:szCs w:val="24"/>
                <w:lang w:val="en-US" w:eastAsia="zh-CN"/>
              </w:rPr>
              <w:t>，符合大赛规则中关于教学平台的相关要求</w:t>
            </w:r>
            <w:r>
              <w:rPr>
                <w:rFonts w:hint="default" w:ascii="仿宋_GB2312" w:hAnsi="仿宋_GB2312" w:eastAsia="仿宋_GB2312" w:cs="仿宋_GB2312"/>
                <w:bCs/>
                <w:sz w:val="24"/>
                <w:szCs w:val="24"/>
                <w:lang w:val="en-US"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14:paraId="0DABAFA9">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w:t>
            </w:r>
          </w:p>
        </w:tc>
        <w:tc>
          <w:tcPr>
            <w:tcW w:w="818" w:type="dxa"/>
            <w:tcBorders>
              <w:top w:val="single" w:color="auto" w:sz="4" w:space="0"/>
              <w:left w:val="single" w:color="auto" w:sz="4" w:space="0"/>
              <w:bottom w:val="single" w:color="auto" w:sz="4" w:space="0"/>
              <w:right w:val="single" w:color="auto" w:sz="4" w:space="0"/>
            </w:tcBorders>
            <w:vAlign w:val="center"/>
          </w:tcPr>
          <w:p w14:paraId="537F23C5">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门</w:t>
            </w:r>
          </w:p>
        </w:tc>
        <w:tc>
          <w:tcPr>
            <w:tcW w:w="845" w:type="dxa"/>
            <w:tcBorders>
              <w:top w:val="single" w:color="auto" w:sz="4" w:space="0"/>
              <w:left w:val="single" w:color="auto" w:sz="4" w:space="0"/>
              <w:bottom w:val="single" w:color="auto" w:sz="4" w:space="0"/>
              <w:right w:val="single" w:color="auto" w:sz="4" w:space="0"/>
            </w:tcBorders>
            <w:vAlign w:val="center"/>
          </w:tcPr>
          <w:p w14:paraId="3E6FB836">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4000</w:t>
            </w:r>
          </w:p>
        </w:tc>
        <w:tc>
          <w:tcPr>
            <w:tcW w:w="955" w:type="dxa"/>
            <w:tcBorders>
              <w:top w:val="single" w:color="auto" w:sz="4" w:space="0"/>
              <w:left w:val="single" w:color="auto" w:sz="4" w:space="0"/>
              <w:bottom w:val="single" w:color="auto" w:sz="4" w:space="0"/>
              <w:right w:val="single" w:color="auto" w:sz="4" w:space="0"/>
            </w:tcBorders>
            <w:vAlign w:val="center"/>
          </w:tcPr>
          <w:p w14:paraId="06056C7D">
            <w:pPr>
              <w:spacing w:line="380" w:lineRule="exact"/>
              <w:ind w:right="-57" w:rightChars="-27"/>
              <w:jc w:val="center"/>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16000</w:t>
            </w:r>
          </w:p>
        </w:tc>
      </w:tr>
      <w:tr w14:paraId="79C6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vAlign w:val="center"/>
          </w:tcPr>
          <w:p w14:paraId="6B9BA669">
            <w:pPr>
              <w:spacing w:line="380" w:lineRule="exact"/>
              <w:ind w:right="-57" w:rightChars="-27"/>
              <w:jc w:val="center"/>
              <w:rPr>
                <w:rFonts w:hint="eastAsia" w:ascii="宋体" w:hAnsi="宋体"/>
                <w:bCs/>
                <w:sz w:val="24"/>
                <w:szCs w:val="24"/>
              </w:rPr>
            </w:pPr>
            <w:r>
              <w:rPr>
                <w:rFonts w:hint="eastAsia" w:ascii="宋体" w:hAnsi="宋体"/>
                <w:bCs/>
                <w:sz w:val="24"/>
                <w:szCs w:val="24"/>
              </w:rPr>
              <w:t>合计</w:t>
            </w:r>
          </w:p>
        </w:tc>
        <w:tc>
          <w:tcPr>
            <w:tcW w:w="1296" w:type="dxa"/>
            <w:tcBorders>
              <w:top w:val="single" w:color="auto" w:sz="4" w:space="0"/>
              <w:left w:val="single" w:color="auto" w:sz="4" w:space="0"/>
              <w:bottom w:val="single" w:color="auto" w:sz="4" w:space="0"/>
              <w:right w:val="single" w:color="auto" w:sz="4" w:space="0"/>
            </w:tcBorders>
            <w:vAlign w:val="center"/>
          </w:tcPr>
          <w:p w14:paraId="02A3036E">
            <w:pPr>
              <w:spacing w:line="380" w:lineRule="exact"/>
              <w:ind w:right="-57" w:rightChars="-27"/>
              <w:jc w:val="center"/>
              <w:rPr>
                <w:rFonts w:hint="eastAsia" w:ascii="宋体" w:hAnsi="宋体"/>
                <w:bCs/>
                <w:sz w:val="24"/>
                <w:szCs w:val="24"/>
              </w:rPr>
            </w:pPr>
          </w:p>
        </w:tc>
        <w:tc>
          <w:tcPr>
            <w:tcW w:w="4513" w:type="dxa"/>
            <w:tcBorders>
              <w:top w:val="single" w:color="auto" w:sz="4" w:space="0"/>
              <w:left w:val="single" w:color="auto" w:sz="4" w:space="0"/>
              <w:bottom w:val="single" w:color="auto" w:sz="4" w:space="0"/>
              <w:right w:val="single" w:color="auto" w:sz="4" w:space="0"/>
            </w:tcBorders>
            <w:vAlign w:val="center"/>
          </w:tcPr>
          <w:p w14:paraId="560EE514">
            <w:pPr>
              <w:spacing w:line="380" w:lineRule="exact"/>
              <w:ind w:right="-57" w:rightChars="-27"/>
              <w:jc w:val="center"/>
              <w:rPr>
                <w:rFonts w:hint="eastAsia" w:ascii="宋体" w:hAnsi="宋体"/>
                <w:bCs/>
                <w:sz w:val="24"/>
                <w:szCs w:val="24"/>
              </w:rPr>
            </w:pPr>
          </w:p>
        </w:tc>
        <w:tc>
          <w:tcPr>
            <w:tcW w:w="846" w:type="dxa"/>
            <w:tcBorders>
              <w:top w:val="single" w:color="auto" w:sz="4" w:space="0"/>
              <w:left w:val="single" w:color="auto" w:sz="4" w:space="0"/>
              <w:bottom w:val="single" w:color="auto" w:sz="4" w:space="0"/>
              <w:right w:val="single" w:color="auto" w:sz="4" w:space="0"/>
            </w:tcBorders>
            <w:vAlign w:val="center"/>
          </w:tcPr>
          <w:p w14:paraId="4EE04CAE">
            <w:pPr>
              <w:spacing w:line="380" w:lineRule="exact"/>
              <w:ind w:right="-57" w:rightChars="-27"/>
              <w:jc w:val="center"/>
              <w:rPr>
                <w:rFonts w:hint="eastAsia" w:ascii="宋体" w:hAnsi="宋体"/>
                <w:bCs/>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14:paraId="21464DE5">
            <w:pPr>
              <w:spacing w:line="380" w:lineRule="exact"/>
              <w:ind w:right="-57" w:rightChars="-27"/>
              <w:jc w:val="center"/>
              <w:rPr>
                <w:rFonts w:hint="eastAsia" w:ascii="宋体" w:hAnsi="宋体"/>
                <w:bCs/>
                <w:sz w:val="24"/>
                <w:szCs w:val="24"/>
              </w:rPr>
            </w:pPr>
          </w:p>
        </w:tc>
        <w:tc>
          <w:tcPr>
            <w:tcW w:w="845" w:type="dxa"/>
            <w:tcBorders>
              <w:top w:val="single" w:color="auto" w:sz="4" w:space="0"/>
              <w:left w:val="single" w:color="auto" w:sz="4" w:space="0"/>
              <w:bottom w:val="single" w:color="auto" w:sz="4" w:space="0"/>
              <w:right w:val="single" w:color="auto" w:sz="4" w:space="0"/>
            </w:tcBorders>
            <w:vAlign w:val="center"/>
          </w:tcPr>
          <w:p w14:paraId="219FA361">
            <w:pPr>
              <w:spacing w:line="380" w:lineRule="exact"/>
              <w:ind w:right="-57" w:rightChars="-27"/>
              <w:jc w:val="center"/>
              <w:rPr>
                <w:rFonts w:hint="eastAsia" w:ascii="宋体" w:hAnsi="宋体"/>
                <w:bCs/>
                <w:sz w:val="24"/>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72F99D5D">
            <w:pPr>
              <w:spacing w:line="380" w:lineRule="exact"/>
              <w:ind w:right="-57" w:rightChars="-27"/>
              <w:jc w:val="center"/>
              <w:rPr>
                <w:rFonts w:hint="eastAsia" w:ascii="宋体" w:hAnsi="宋体"/>
                <w:bCs/>
                <w:sz w:val="24"/>
                <w:szCs w:val="24"/>
              </w:rPr>
            </w:pPr>
            <w:r>
              <w:rPr>
                <w:rFonts w:hint="eastAsia" w:ascii="宋体" w:hAnsi="宋体"/>
                <w:bCs/>
                <w:sz w:val="24"/>
                <w:szCs w:val="24"/>
              </w:rPr>
              <w:t>200000</w:t>
            </w:r>
          </w:p>
        </w:tc>
      </w:tr>
    </w:tbl>
    <w:p w14:paraId="72B0AB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92395"/>
    <w:multiLevelType w:val="singleLevel"/>
    <w:tmpl w:val="C3492395"/>
    <w:lvl w:ilvl="0" w:tentative="0">
      <w:start w:val="1"/>
      <w:numFmt w:val="decimal"/>
      <w:lvlText w:val="%1."/>
      <w:lvlJc w:val="left"/>
      <w:pPr>
        <w:tabs>
          <w:tab w:val="left" w:pos="312"/>
        </w:tabs>
      </w:pPr>
    </w:lvl>
  </w:abstractNum>
  <w:abstractNum w:abstractNumId="1">
    <w:nsid w:val="D871BA26"/>
    <w:multiLevelType w:val="singleLevel"/>
    <w:tmpl w:val="D871BA26"/>
    <w:lvl w:ilvl="0" w:tentative="0">
      <w:start w:val="1"/>
      <w:numFmt w:val="decimal"/>
      <w:lvlText w:val="%1."/>
      <w:lvlJc w:val="left"/>
      <w:pPr>
        <w:tabs>
          <w:tab w:val="left" w:pos="312"/>
        </w:tabs>
      </w:pPr>
    </w:lvl>
  </w:abstractNum>
  <w:abstractNum w:abstractNumId="2">
    <w:nsid w:val="1B1BB760"/>
    <w:multiLevelType w:val="singleLevel"/>
    <w:tmpl w:val="1B1BB760"/>
    <w:lvl w:ilvl="0" w:tentative="0">
      <w:start w:val="1"/>
      <w:numFmt w:val="decimal"/>
      <w:lvlText w:val="%1."/>
      <w:lvlJc w:val="left"/>
      <w:pPr>
        <w:tabs>
          <w:tab w:val="left" w:pos="312"/>
        </w:tabs>
      </w:pPr>
    </w:lvl>
  </w:abstractNum>
  <w:abstractNum w:abstractNumId="3">
    <w:nsid w:val="5F1B1639"/>
    <w:multiLevelType w:val="singleLevel"/>
    <w:tmpl w:val="5F1B163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NWNlYmM4Zjc0NjBhZWI1MDY4ZjJhMjMxYjIzZGQifQ=="/>
  </w:docVars>
  <w:rsids>
    <w:rsidRoot w:val="63EB193E"/>
    <w:rsid w:val="63EB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